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000000"/>
          <w:sz w:val="26"/>
          <w:szCs w:val="26"/>
        </w:rPr>
      </w:pPr>
      <w:r w:rsidDel="00000000" w:rsidR="00000000" w:rsidRPr="00000000">
        <w:rPr>
          <w:b w:val="1"/>
          <w:bCs w:val="1"/>
          <w:sz w:val="26"/>
          <w:szCs w:val="26"/>
        </w:rPr>
        <w:drawing>
          <wp:anchor allowOverlap="1" behindDoc="0" distB="114300" distT="114300" distL="114300" distR="114300" hidden="0" layoutInCell="1" locked="0" relativeHeight="0" simplePos="0">
            <wp:simplePos x="0" y="0"/>
            <wp:positionH relativeFrom="page">
              <wp:posOffset>1285875</wp:posOffset>
            </wp:positionH>
            <wp:positionV relativeFrom="page">
              <wp:posOffset>590550</wp:posOffset>
            </wp:positionV>
            <wp:extent cx="2147888" cy="584994"/>
            <wp:effectExtent b="0" l="0" r="0" t="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147888" cy="584994"/>
                    </a:xfrm>
                    <a:prstGeom prst="rect"/>
                    <a:ln/>
                  </pic:spPr>
                </pic:pic>
              </a:graphicData>
            </a:graphic>
          </wp:anchor>
        </w:drawing>
      </w:r>
      <w:r w:rsidDel="00000000" w:rsidR="00000000" w:rsidRPr="00000000">
        <w:rPr>
          <w:b w:val="1"/>
          <w:bCs w:val="1"/>
          <w:sz w:val="26"/>
          <w:szCs w:val="26"/>
        </w:rPr>
        <w:drawing>
          <wp:anchor allowOverlap="1" behindDoc="0" distB="0" distT="0" distL="0" distR="0" hidden="0" layoutInCell="1" locked="0" relativeHeight="0" simplePos="0">
            <wp:simplePos x="0" y="0"/>
            <wp:positionH relativeFrom="page">
              <wp:posOffset>3876675</wp:posOffset>
            </wp:positionH>
            <wp:positionV relativeFrom="page">
              <wp:posOffset>571500</wp:posOffset>
            </wp:positionV>
            <wp:extent cx="2233613" cy="619976"/>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33613" cy="61997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hw23dik8mpt8" w:id="0"/>
      <w:bookmarkEnd w:id="0"/>
      <w:r w:rsidDel="00000000" w:rsidR="00000000" w:rsidRPr="00000000">
        <w:rPr>
          <w:b w:val="1"/>
          <w:bCs w:val="1"/>
          <w:color w:val="000000"/>
          <w:sz w:val="26"/>
          <w:szCs w:val="26"/>
        </w:rPr>
        <w:drawing>
          <wp:anchor allowOverlap="1" behindDoc="0" distB="114300" distT="114300" distL="114300" distR="114300" hidden="0" layoutInCell="1" locked="0" relativeHeight="0" simplePos="0">
            <wp:simplePos x="0" y="0"/>
            <wp:positionH relativeFrom="page">
              <wp:posOffset>1433513</wp:posOffset>
            </wp:positionH>
            <wp:positionV relativeFrom="page">
              <wp:posOffset>1439078</wp:posOffset>
            </wp:positionV>
            <wp:extent cx="1852613" cy="808555"/>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852613" cy="808555"/>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rPr>
          <w:b w:val="1"/>
          <w:bCs w:val="1"/>
          <w:color w:val="000000"/>
          <w:sz w:val="26"/>
          <w:szCs w:val="26"/>
        </w:rPr>
      </w:pPr>
      <w:r w:rsidDel="00000000" w:rsidR="00000000" w:rsidRPr="00000000">
        <w:rPr/>
        <w:drawing>
          <wp:anchor allowOverlap="1" behindDoc="0" distB="114300" distT="114300" distL="114300" distR="114300" hidden="0" layoutInCell="1" locked="0" relativeHeight="0" simplePos="0">
            <wp:simplePos x="0" y="0"/>
            <wp:positionH relativeFrom="page">
              <wp:posOffset>3810000</wp:posOffset>
            </wp:positionH>
            <wp:positionV relativeFrom="page">
              <wp:posOffset>1653391</wp:posOffset>
            </wp:positionV>
            <wp:extent cx="2576513" cy="382650"/>
            <wp:effectExtent b="0" l="0" r="0" t="0"/>
            <wp:wrapNone/>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576513" cy="38265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bqw4sht7mm2k" w:id="1"/>
      <w:bookmarkEnd w:id="1"/>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jse3cad3dzi" w:id="2"/>
      <w:bookmarkEnd w:id="2"/>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m37tl4wd4auz" w:id="3"/>
      <w:bookmarkEnd w:id="3"/>
      <w:r w:rsidDel="00000000" w:rsidR="00000000" w:rsidRPr="00000000">
        <w:rPr>
          <w:b w:val="1"/>
          <w:bCs w:val="1"/>
          <w:color w:val="000000"/>
          <w:sz w:val="26"/>
          <w:szCs w:val="26"/>
          <w:rtl w:val="0"/>
        </w:rPr>
        <w:t xml:space="preserve">COMUNICADO À COMISSÃO INTERAMERICANA DE DIREITOS HUMANOS (CIDH)</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Relatoria Especial sobre Direitos Econômicos, Sociais, Culturais e Ambientais (REDESCA)</w:t>
        <w:br w:type="textWrapping"/>
      </w:r>
    </w:p>
    <w:p w:rsidR="00000000" w:rsidDel="00000000" w:rsidP="00000000" w:rsidRDefault="00000000" w:rsidRPr="00000000" w14:paraId="00000008">
      <w:pPr>
        <w:spacing w:after="240" w:before="240" w:lineRule="auto"/>
        <w:rPr>
          <w:b w:val="1"/>
          <w:bCs w:val="1"/>
          <w:color w:val="000000"/>
          <w:sz w:val="22"/>
          <w:szCs w:val="22"/>
        </w:rPr>
      </w:pPr>
      <w:r w:rsidDel="00000000" w:rsidR="00000000" w:rsidRPr="00000000">
        <w:rPr>
          <w:b w:val="1"/>
          <w:bCs w:val="1"/>
          <w:rtl w:val="0"/>
        </w:rPr>
        <w:t xml:space="preserve">Assunto:</w:t>
      </w:r>
      <w:r w:rsidDel="00000000" w:rsidR="00000000" w:rsidRPr="00000000">
        <w:rPr>
          <w:rtl w:val="0"/>
        </w:rPr>
        <w:t xml:space="preserve"> Riscos de retrocessos normativos na proteção socioambiental decorrentes da Lei nº 15.190/2025, da Medida Provisória nº 1.308/2025 e do Projeto de Lei nº 3.834/2025 (“Lei Geral do Licenciamento Ambiental”)</w:t>
        <w:br w:type="textWrapping"/>
        <w:br w:type="textWrapping"/>
      </w:r>
      <w:r w:rsidDel="00000000" w:rsidR="00000000" w:rsidRPr="00000000">
        <w:rPr>
          <w:b w:val="1"/>
          <w:bCs w:val="1"/>
          <w:color w:val="000000"/>
          <w:sz w:val="22"/>
          <w:szCs w:val="22"/>
          <w:rtl w:val="0"/>
        </w:rPr>
        <w:t xml:space="preserve">1. Contexto e motivação</w:t>
      </w:r>
    </w:p>
    <w:p w:rsidR="00000000" w:rsidDel="00000000" w:rsidP="00000000" w:rsidRDefault="00000000" w:rsidRPr="00000000" w14:paraId="00000009">
      <w:pPr>
        <w:spacing w:after="240" w:before="240" w:lineRule="auto"/>
        <w:rPr/>
      </w:pPr>
      <w:r w:rsidDel="00000000" w:rsidR="00000000" w:rsidRPr="00000000">
        <w:rPr>
          <w:rtl w:val="0"/>
        </w:rPr>
        <w:t xml:space="preserve">O Instituto Sociedade, População e Natureza (ISPN), em parceria com o Washington Brazil Office (WBO) e o Observatório do Clima, vem por meio deste comunicado alertar a Relatoria Especial sobre Direitos Econômicos, Sociais, Culturais e Ambientais (REDESCA) para o </w:t>
      </w:r>
      <w:r w:rsidDel="00000000" w:rsidR="00000000" w:rsidRPr="00000000">
        <w:rPr>
          <w:b w:val="1"/>
          <w:bCs w:val="1"/>
          <w:rtl w:val="0"/>
        </w:rPr>
        <w:t xml:space="preserve">grave risco de desmonte institucional do Sistema Nacional de Meio Ambiente (Sisnama)</w:t>
      </w:r>
      <w:r w:rsidDel="00000000" w:rsidR="00000000" w:rsidRPr="00000000">
        <w:rPr>
          <w:rtl w:val="0"/>
        </w:rPr>
        <w:t xml:space="preserve">, resultante da recente aprovação da </w:t>
      </w:r>
      <w:r w:rsidDel="00000000" w:rsidR="00000000" w:rsidRPr="00000000">
        <w:rPr>
          <w:b w:val="1"/>
          <w:bCs w:val="1"/>
          <w:rtl w:val="0"/>
        </w:rPr>
        <w:t xml:space="preserve">Lei Geral do Licenciamento Ambiental (Lei nº 15.190/2025)</w:t>
      </w:r>
      <w:r w:rsidDel="00000000" w:rsidR="00000000" w:rsidRPr="00000000">
        <w:rPr>
          <w:rtl w:val="0"/>
        </w:rPr>
        <w:t xml:space="preserve"> e de medidas correlatas que fragilizam o regime de proteção socioambiental no Brasil.</w:t>
      </w:r>
    </w:p>
    <w:p w:rsidR="00000000" w:rsidDel="00000000" w:rsidP="00000000" w:rsidRDefault="00000000" w:rsidRPr="00000000" w14:paraId="0000000A">
      <w:pPr>
        <w:spacing w:after="240" w:before="240" w:lineRule="auto"/>
        <w:rPr/>
      </w:pPr>
      <w:r w:rsidDel="00000000" w:rsidR="00000000" w:rsidRPr="00000000">
        <w:rPr>
          <w:rtl w:val="0"/>
        </w:rPr>
        <w:t xml:space="preserve">O pacote legislativo conhecido como </w:t>
      </w:r>
      <w:r w:rsidDel="00000000" w:rsidR="00000000" w:rsidRPr="00000000">
        <w:rPr>
          <w:b w:val="1"/>
          <w:bCs w:val="1"/>
          <w:rtl w:val="0"/>
        </w:rPr>
        <w:t xml:space="preserve">“PL da Devastação”</w:t>
      </w:r>
      <w:r w:rsidDel="00000000" w:rsidR="00000000" w:rsidRPr="00000000">
        <w:rPr>
          <w:rtl w:val="0"/>
        </w:rPr>
        <w:t xml:space="preserve"> foi aprovado em meio a intensas críticas da comunidade científica, de órgãos de controle e da sociedade civil. Apesar dos 63 vetos presidenciais — reconhecidamente necessários —, persistem dispositivos que, seja no texto sancionado ou nos demais ainda sob análise do Legislativo, </w:t>
      </w:r>
      <w:r w:rsidDel="00000000" w:rsidR="00000000" w:rsidRPr="00000000">
        <w:rPr>
          <w:b w:val="1"/>
          <w:bCs w:val="1"/>
          <w:rtl w:val="0"/>
        </w:rPr>
        <w:t xml:space="preserve">contrariam os princípios da precaução, da prevenção e da não-regressão ambiental</w:t>
      </w:r>
      <w:r w:rsidDel="00000000" w:rsidR="00000000" w:rsidRPr="00000000">
        <w:rPr>
          <w:rtl w:val="0"/>
        </w:rPr>
        <w:t xml:space="preserve">, pilares dos direitos ambientais e humanos internacionais e interamericanos.</w:t>
      </w:r>
    </w:p>
    <w:p w:rsidR="00000000" w:rsidDel="00000000" w:rsidP="00000000" w:rsidRDefault="00000000" w:rsidRPr="00000000" w14:paraId="0000000B">
      <w:pPr>
        <w:spacing w:after="240" w:before="240" w:lineRule="auto"/>
        <w:rPr/>
      </w:pPr>
      <w:r w:rsidDel="00000000" w:rsidR="00000000" w:rsidRPr="00000000">
        <w:rPr>
          <w:rtl w:val="0"/>
        </w:rPr>
        <w:t xml:space="preserve">No contexto da emergência climática, a flexibilização do licenciamento ambiental não é uma questão de soberania interna, mas</w:t>
      </w:r>
      <w:r w:rsidDel="00000000" w:rsidR="00000000" w:rsidRPr="00000000">
        <w:rPr>
          <w:b w:val="1"/>
          <w:bCs w:val="1"/>
          <w:rtl w:val="0"/>
        </w:rPr>
        <w:t xml:space="preserve"> uma ameaça direta à estabilidade climática global, à proteção ambiental, à vida e à segurança humana</w:t>
      </w:r>
      <w:r w:rsidDel="00000000" w:rsidR="00000000" w:rsidRPr="00000000">
        <w:rPr>
          <w:rtl w:val="0"/>
        </w:rPr>
        <w:t xml:space="preserve">. A omissão do Estado brasileiro em proteger os ecossistemas, ao facilitar sua destruição por vias legais, pode configurar uma violação de obrigações perante toda a comunidade internacional e, fundamentalmente, perante as gerações presentes e futuras.</w:t>
      </w:r>
    </w:p>
    <w:p w:rsidR="00000000" w:rsidDel="00000000" w:rsidP="00000000" w:rsidRDefault="00000000" w:rsidRPr="00000000" w14:paraId="0000000C">
      <w:pPr>
        <w:pStyle w:val="Heading4"/>
        <w:keepNext w:val="0"/>
        <w:keepLines w:val="0"/>
        <w:spacing w:after="40" w:before="240" w:lineRule="auto"/>
        <w:rPr>
          <w:b w:val="1"/>
          <w:bCs w:val="1"/>
          <w:color w:val="000000"/>
          <w:sz w:val="22"/>
          <w:szCs w:val="22"/>
        </w:rPr>
      </w:pPr>
      <w:bookmarkStart w:colFirst="0" w:colLast="0" w:name="_tud65un8f09n" w:id="4"/>
      <w:bookmarkEnd w:id="4"/>
      <w:r w:rsidDel="00000000" w:rsidR="00000000" w:rsidRPr="00000000">
        <w:rPr>
          <w:b w:val="1"/>
          <w:bCs w:val="1"/>
          <w:color w:val="000000"/>
          <w:sz w:val="22"/>
          <w:szCs w:val="22"/>
          <w:rtl w:val="0"/>
        </w:rPr>
        <w:t xml:space="preserve">2. Fragilizações institucionais e riscos aos DESCA</w:t>
      </w:r>
    </w:p>
    <w:p w:rsidR="00000000" w:rsidDel="00000000" w:rsidP="00000000" w:rsidRDefault="00000000" w:rsidRPr="00000000" w14:paraId="0000000D">
      <w:pPr>
        <w:spacing w:after="240" w:before="240" w:lineRule="auto"/>
        <w:rPr/>
      </w:pPr>
      <w:r w:rsidDel="00000000" w:rsidR="00000000" w:rsidRPr="00000000">
        <w:rPr>
          <w:rtl w:val="0"/>
        </w:rPr>
        <w:t xml:space="preserve">Diversas notas técnicas e manifestações de referência nacional, como as da </w:t>
      </w:r>
      <w:r w:rsidDel="00000000" w:rsidR="00000000" w:rsidRPr="00000000">
        <w:rPr>
          <w:b w:val="1"/>
          <w:bCs w:val="1"/>
          <w:rtl w:val="0"/>
        </w:rPr>
        <w:t xml:space="preserve">Frente Parlamentar Ambientalista</w:t>
      </w:r>
      <w:r w:rsidDel="00000000" w:rsidR="00000000" w:rsidRPr="00000000">
        <w:rPr>
          <w:rtl w:val="0"/>
        </w:rPr>
        <w:t xml:space="preserve">, do </w:t>
      </w:r>
      <w:r w:rsidDel="00000000" w:rsidR="00000000" w:rsidRPr="00000000">
        <w:rPr>
          <w:b w:val="1"/>
          <w:bCs w:val="1"/>
          <w:rtl w:val="0"/>
        </w:rPr>
        <w:t xml:space="preserve">Observatório do Clima</w:t>
      </w:r>
      <w:r w:rsidDel="00000000" w:rsidR="00000000" w:rsidRPr="00000000">
        <w:rPr>
          <w:rtl w:val="0"/>
        </w:rPr>
        <w:t xml:space="preserve">, do </w:t>
      </w:r>
      <w:r w:rsidDel="00000000" w:rsidR="00000000" w:rsidRPr="00000000">
        <w:rPr>
          <w:b w:val="1"/>
          <w:bCs w:val="1"/>
          <w:rtl w:val="0"/>
        </w:rPr>
        <w:t xml:space="preserve">GT Infraestrutura e Justiça Socioambiental</w:t>
      </w:r>
      <w:r w:rsidDel="00000000" w:rsidR="00000000" w:rsidRPr="00000000">
        <w:rPr>
          <w:rtl w:val="0"/>
        </w:rPr>
        <w:t xml:space="preserve"> e de organizações como o </w:t>
      </w:r>
      <w:r w:rsidDel="00000000" w:rsidR="00000000" w:rsidRPr="00000000">
        <w:rPr>
          <w:b w:val="1"/>
          <w:bCs w:val="1"/>
          <w:rtl w:val="0"/>
        </w:rPr>
        <w:t xml:space="preserve">Instituto Socioambiental (ISA)</w:t>
      </w:r>
      <w:r w:rsidDel="00000000" w:rsidR="00000000" w:rsidRPr="00000000">
        <w:rPr>
          <w:rtl w:val="0"/>
        </w:rPr>
        <w:t xml:space="preserve"> e o </w:t>
      </w:r>
      <w:r w:rsidDel="00000000" w:rsidR="00000000" w:rsidRPr="00000000">
        <w:rPr>
          <w:b w:val="1"/>
          <w:bCs w:val="1"/>
          <w:rtl w:val="0"/>
        </w:rPr>
        <w:t xml:space="preserve">Greenpeace Brasil</w:t>
      </w:r>
      <w:r w:rsidDel="00000000" w:rsidR="00000000" w:rsidRPr="00000000">
        <w:rPr>
          <w:rtl w:val="0"/>
        </w:rPr>
        <w:t xml:space="preserve">, evidenciam que:</w:t>
      </w:r>
    </w:p>
    <w:p w:rsidR="00000000" w:rsidDel="00000000" w:rsidP="00000000" w:rsidRDefault="00000000" w:rsidRPr="00000000" w14:paraId="0000000E">
      <w:pPr>
        <w:numPr>
          <w:ilvl w:val="0"/>
          <w:numId w:val="1"/>
        </w:numPr>
        <w:spacing w:after="200" w:before="240" w:lineRule="auto"/>
        <w:ind w:left="720" w:hanging="360"/>
      </w:pPr>
      <w:r w:rsidDel="00000000" w:rsidR="00000000" w:rsidRPr="00000000">
        <w:rPr>
          <w:b w:val="1"/>
          <w:bCs w:val="1"/>
          <w:rtl w:val="0"/>
        </w:rPr>
        <w:t xml:space="preserve">A criação da Licença Ambiental Especial (LAE)</w:t>
      </w:r>
      <w:r w:rsidDel="00000000" w:rsidR="00000000" w:rsidRPr="00000000">
        <w:rPr>
          <w:rtl w:val="0"/>
        </w:rPr>
        <w:t xml:space="preserve"> pela Medida Provisória nº 1.308/2025 institui um </w:t>
      </w:r>
      <w:r w:rsidDel="00000000" w:rsidR="00000000" w:rsidRPr="00000000">
        <w:rPr>
          <w:b w:val="1"/>
          <w:bCs w:val="1"/>
          <w:rtl w:val="0"/>
        </w:rPr>
        <w:t xml:space="preserve">“licenciamento a jato”</w:t>
      </w:r>
      <w:r w:rsidDel="00000000" w:rsidR="00000000" w:rsidRPr="00000000">
        <w:rPr>
          <w:rtl w:val="0"/>
        </w:rPr>
        <w:t xml:space="preserve">, na modalidade monofásica e com possível viés político, para empreendimentos estratégicos, sem critérios claros para definir o que é “estratégico” e com prazos máximos de 12 meses para a viabilização da operação das atividades econômicas que demandam uma análise ambiental mais rigorosa via Estudo Prévio de Impacto Ambiental (EIA) — incompatíveis com a complexidade de tais estudos. Há, portanto, violação aos </w:t>
      </w:r>
      <w:r w:rsidDel="00000000" w:rsidR="00000000" w:rsidRPr="00000000">
        <w:rPr>
          <w:b w:val="1"/>
          <w:bCs w:val="1"/>
          <w:rtl w:val="0"/>
        </w:rPr>
        <w:t xml:space="preserve">princípios da precaução, da prevenção, do meio ambiente ecologicamente equilibrado e da impessoalidade administrativa,</w:t>
      </w:r>
      <w:r w:rsidDel="00000000" w:rsidR="00000000" w:rsidRPr="00000000">
        <w:rPr>
          <w:rtl w:val="0"/>
        </w:rPr>
        <w:t xml:space="preserve"> comprometendo também o </w:t>
      </w:r>
      <w:r w:rsidDel="00000000" w:rsidR="00000000" w:rsidRPr="00000000">
        <w:rPr>
          <w:b w:val="1"/>
          <w:bCs w:val="1"/>
          <w:rtl w:val="0"/>
        </w:rPr>
        <w:t xml:space="preserve">direito de consulta livre, prévia e informada (CLPI)</w:t>
      </w:r>
      <w:r w:rsidDel="00000000" w:rsidR="00000000" w:rsidRPr="00000000">
        <w:rPr>
          <w:rtl w:val="0"/>
        </w:rPr>
        <w:t xml:space="preserve"> garantido pela Convenção 169 da OIT.</w:t>
      </w:r>
    </w:p>
    <w:p w:rsidR="00000000" w:rsidDel="00000000" w:rsidP="00000000" w:rsidRDefault="00000000" w:rsidRPr="00000000" w14:paraId="0000000F">
      <w:pPr>
        <w:numPr>
          <w:ilvl w:val="0"/>
          <w:numId w:val="1"/>
        </w:numPr>
        <w:spacing w:after="200" w:before="0" w:lineRule="auto"/>
        <w:ind w:left="720" w:hanging="360"/>
      </w:pPr>
      <w:r w:rsidDel="00000000" w:rsidR="00000000" w:rsidRPr="00000000">
        <w:rPr>
          <w:b w:val="1"/>
          <w:bCs w:val="1"/>
          <w:rtl w:val="0"/>
        </w:rPr>
        <w:t xml:space="preserve">A dispensa de licenciamento para atividades agrossilvipastoris,</w:t>
      </w:r>
      <w:r w:rsidDel="00000000" w:rsidR="00000000" w:rsidRPr="00000000">
        <w:rPr>
          <w:rtl w:val="0"/>
        </w:rPr>
        <w:t xml:space="preserve"> e a </w:t>
      </w:r>
      <w:r w:rsidDel="00000000" w:rsidR="00000000" w:rsidRPr="00000000">
        <w:rPr>
          <w:b w:val="1"/>
          <w:bCs w:val="1"/>
          <w:rtl w:val="0"/>
        </w:rPr>
        <w:t xml:space="preserve">autodeclaração eletrônica de licenças, que</w:t>
      </w:r>
      <w:r w:rsidDel="00000000" w:rsidR="00000000" w:rsidRPr="00000000">
        <w:rPr>
          <w:rtl w:val="0"/>
        </w:rPr>
        <w:t xml:space="preserve"> </w:t>
      </w:r>
      <w:r w:rsidDel="00000000" w:rsidR="00000000" w:rsidRPr="00000000">
        <w:rPr>
          <w:b w:val="1"/>
          <w:bCs w:val="1"/>
          <w:rtl w:val="0"/>
        </w:rPr>
        <w:t xml:space="preserve">representa um autolicenciamento ambiental</w:t>
      </w:r>
      <w:r w:rsidDel="00000000" w:rsidR="00000000" w:rsidRPr="00000000">
        <w:rPr>
          <w:rtl w:val="0"/>
        </w:rPr>
        <w:t xml:space="preserve">, transferem ao empreendedor a função de controle estatal, criando risco elevado de omissões, fraudes e danos irreversíveis.</w:t>
      </w:r>
    </w:p>
    <w:p w:rsidR="00000000" w:rsidDel="00000000" w:rsidP="00000000" w:rsidRDefault="00000000" w:rsidRPr="00000000" w14:paraId="00000010">
      <w:pPr>
        <w:numPr>
          <w:ilvl w:val="0"/>
          <w:numId w:val="1"/>
        </w:numPr>
        <w:spacing w:after="200" w:before="0" w:lineRule="auto"/>
        <w:ind w:left="720" w:hanging="360"/>
      </w:pPr>
      <w:r w:rsidDel="00000000" w:rsidR="00000000" w:rsidRPr="00000000">
        <w:rPr>
          <w:b w:val="1"/>
          <w:bCs w:val="1"/>
          <w:rtl w:val="0"/>
        </w:rPr>
        <w:t xml:space="preserve">A participação social foi reduzida e enfraquecida</w:t>
      </w:r>
      <w:r w:rsidDel="00000000" w:rsidR="00000000" w:rsidRPr="00000000">
        <w:rPr>
          <w:rtl w:val="0"/>
        </w:rPr>
        <w:t xml:space="preserve">, com a previsão de </w:t>
      </w:r>
      <w:r w:rsidDel="00000000" w:rsidR="00000000" w:rsidRPr="00000000">
        <w:rPr>
          <w:b w:val="1"/>
          <w:bCs w:val="1"/>
          <w:rtl w:val="0"/>
        </w:rPr>
        <w:t xml:space="preserve">audiências públicas remotas (sabidamente insuficientes, especialmente para os povos e comunidades tradicionais), sendo apenas uma obrigatória</w:t>
      </w:r>
      <w:r w:rsidDel="00000000" w:rsidR="00000000" w:rsidRPr="00000000">
        <w:rPr>
          <w:rtl w:val="0"/>
        </w:rPr>
        <w:t xml:space="preserve">, contrariando o princípio da democracia participativa e os parâmetros do </w:t>
      </w:r>
      <w:r w:rsidDel="00000000" w:rsidR="00000000" w:rsidRPr="00000000">
        <w:rPr>
          <w:b w:val="1"/>
          <w:bCs w:val="1"/>
          <w:rtl w:val="0"/>
        </w:rPr>
        <w:t xml:space="preserve">Acordo de Escazú</w:t>
      </w:r>
      <w:r w:rsidDel="00000000" w:rsidR="00000000" w:rsidRPr="00000000">
        <w:rPr>
          <w:rtl w:val="0"/>
        </w:rPr>
        <w:t xml:space="preserve">.</w:t>
      </w:r>
    </w:p>
    <w:p w:rsidR="00000000" w:rsidDel="00000000" w:rsidP="00000000" w:rsidRDefault="00000000" w:rsidRPr="00000000" w14:paraId="00000011">
      <w:pPr>
        <w:numPr>
          <w:ilvl w:val="0"/>
          <w:numId w:val="1"/>
        </w:numPr>
        <w:spacing w:after="200" w:before="0" w:lineRule="auto"/>
        <w:ind w:left="720" w:hanging="360"/>
      </w:pPr>
      <w:r w:rsidDel="00000000" w:rsidR="00000000" w:rsidRPr="00000000">
        <w:rPr>
          <w:b w:val="1"/>
          <w:bCs w:val="1"/>
          <w:rtl w:val="0"/>
        </w:rPr>
        <w:t xml:space="preserve">A desvinculação entre licenciamento e instrumentos de gestão, como o ordenamento territorial municipal</w:t>
      </w:r>
      <w:r w:rsidDel="00000000" w:rsidR="00000000" w:rsidRPr="00000000">
        <w:rPr>
          <w:rtl w:val="0"/>
        </w:rPr>
        <w:t xml:space="preserve"> (art. 17), exclui os municípios da governança do uso do solo e ignora planos diretores e zoneamentos ecológico-econômicos, bem como fragiliza o controle ambiental por deixar de exigir as autorizações e outorgas dos órgãos competentes que não integrem o Sistema Nacional de Meio Ambiente (Sisnama).</w:t>
      </w:r>
    </w:p>
    <w:p w:rsidR="00000000" w:rsidDel="00000000" w:rsidP="00000000" w:rsidRDefault="00000000" w:rsidRPr="00000000" w14:paraId="00000012">
      <w:pPr>
        <w:numPr>
          <w:ilvl w:val="0"/>
          <w:numId w:val="1"/>
        </w:numPr>
        <w:spacing w:after="200" w:before="0" w:lineRule="auto"/>
        <w:ind w:left="720" w:hanging="360"/>
      </w:pPr>
      <w:r w:rsidDel="00000000" w:rsidR="00000000" w:rsidRPr="00000000">
        <w:rPr>
          <w:b w:val="1"/>
          <w:bCs w:val="1"/>
          <w:rtl w:val="0"/>
        </w:rPr>
        <w:t xml:space="preserve">O texto legislativo desconsidera os impactos climáticos e a Avaliação Ambiental Estratégica</w:t>
      </w:r>
      <w:r w:rsidDel="00000000" w:rsidR="00000000" w:rsidRPr="00000000">
        <w:rPr>
          <w:rtl w:val="0"/>
        </w:rPr>
        <w:t xml:space="preserve">, esvaziando a capacidade de planejamento e prevenção a desastres, em </w:t>
      </w:r>
      <w:r w:rsidDel="00000000" w:rsidR="00000000" w:rsidRPr="00000000">
        <w:rPr>
          <w:rtl w:val="0"/>
        </w:rPr>
        <w:t xml:space="preserve">clara contrariedade às </w:t>
      </w:r>
      <w:r w:rsidDel="00000000" w:rsidR="00000000" w:rsidRPr="00000000">
        <w:rPr>
          <w:b w:val="1"/>
          <w:bCs w:val="1"/>
          <w:rtl w:val="0"/>
        </w:rPr>
        <w:t xml:space="preserve">recomendações da REDESCA </w:t>
      </w:r>
      <w:r w:rsidDel="00000000" w:rsidR="00000000" w:rsidRPr="00000000">
        <w:rPr>
          <w:b w:val="1"/>
          <w:bCs w:val="1"/>
          <w:rtl w:val="0"/>
        </w:rPr>
        <w:t xml:space="preserve">no Informe sobre as Enchentes no Rio Grande do Sul (2025)</w:t>
      </w:r>
      <w:r w:rsidDel="00000000" w:rsidR="00000000" w:rsidRPr="00000000">
        <w:rPr>
          <w:rtl w:val="0"/>
        </w:rPr>
        <w:t xml:space="preserve">, que relaciona desregulação ambiental, emergência climática e violação de direitos humanos.</w:t>
      </w:r>
    </w:p>
    <w:p w:rsidR="00000000" w:rsidDel="00000000" w:rsidP="00000000" w:rsidRDefault="00000000" w:rsidRPr="00000000" w14:paraId="00000013">
      <w:pPr>
        <w:numPr>
          <w:ilvl w:val="0"/>
          <w:numId w:val="1"/>
        </w:numPr>
        <w:spacing w:after="200" w:before="0" w:lineRule="auto"/>
        <w:ind w:left="720" w:hanging="360"/>
        <w:rPr>
          <w:u w:val="none"/>
        </w:rPr>
      </w:pPr>
      <w:r w:rsidDel="00000000" w:rsidR="00000000" w:rsidRPr="00000000">
        <w:rPr>
          <w:b w:val="1"/>
          <w:bCs w:val="1"/>
          <w:rtl w:val="0"/>
        </w:rPr>
        <w:t xml:space="preserve">Fragilização do sistema de licenciamento ambiental brasileiro</w:t>
      </w:r>
      <w:r w:rsidDel="00000000" w:rsidR="00000000" w:rsidRPr="00000000">
        <w:rPr>
          <w:rtl w:val="0"/>
        </w:rPr>
        <w:t xml:space="preserve">: há uma tendência de se reduzir as formas de participação dos órgãos públicos que tratam de temas específicos no licenciamento ambiental, como é o caso da Funai, Incra e Fundação Palmares. Uma correta gestão ambiental do empreendimento e viabilização de atividades econômicas passam pela suficiente escuta e consideração vinculativa das opiniões técnicas desses órgãos, notadamente pelas suas competências temáticas. Prescindir disso seria uma transgressão às próprias funções dos órgãos públicos quanto a um subdimensionamento dos impactos negativos e danos dos empreendimentos.</w:t>
      </w:r>
    </w:p>
    <w:p w:rsidR="00000000" w:rsidDel="00000000" w:rsidP="00000000" w:rsidRDefault="00000000" w:rsidRPr="00000000" w14:paraId="00000014">
      <w:pPr>
        <w:numPr>
          <w:ilvl w:val="0"/>
          <w:numId w:val="1"/>
        </w:numPr>
        <w:spacing w:after="200" w:before="0" w:lineRule="auto"/>
        <w:ind w:left="720" w:hanging="360"/>
        <w:rPr>
          <w:u w:val="none"/>
        </w:rPr>
      </w:pPr>
      <w:r w:rsidDel="00000000" w:rsidR="00000000" w:rsidRPr="00000000">
        <w:rPr>
          <w:b w:val="1"/>
          <w:bCs w:val="1"/>
          <w:rtl w:val="0"/>
        </w:rPr>
        <w:t xml:space="preserve">Criação de um “porto seguro” para financiadores de atividades predatórias:</w:t>
      </w:r>
      <w:r w:rsidDel="00000000" w:rsidR="00000000" w:rsidRPr="00000000">
        <w:rPr>
          <w:rtl w:val="0"/>
        </w:rPr>
        <w:t xml:space="preserve"> O art. 58-A proposto no PL 3.834/2025 ao  limitar a responsabilidade do financiador por danos ambientais à mera verificação formal da existência de uma licença ambiental vigente, busca isentar instituições financeiras de seu dever de devida diligência (</w:t>
      </w:r>
      <w:r w:rsidDel="00000000" w:rsidR="00000000" w:rsidRPr="00000000">
        <w:rPr>
          <w:i w:val="1"/>
          <w:iCs w:val="1"/>
          <w:rtl w:val="0"/>
        </w:rPr>
        <w:t xml:space="preserve">due diligence)</w:t>
      </w:r>
      <w:r w:rsidDel="00000000" w:rsidR="00000000" w:rsidRPr="00000000">
        <w:rPr>
          <w:rtl w:val="0"/>
        </w:rPr>
        <w:t xml:space="preserve"> e compliance em direitos humanos e ambientais. Assim, e tendo em vista que há a possibilidade de emissão de licenças autodeclaratórias, há a possibilidade do financiamento de projetos com alto risco de violações a direitos fundamentais e ocorrência de desastres, indo na contramão dos Princípios Orientadores da ONU sobre Empresas e Direitos Humanos e do próprio Acordo de Escazú.</w:t>
      </w:r>
    </w:p>
    <w:p w:rsidR="00000000" w:rsidDel="00000000" w:rsidP="00000000" w:rsidRDefault="00000000" w:rsidRPr="00000000" w14:paraId="00000015">
      <w:pPr>
        <w:pStyle w:val="Heading4"/>
        <w:keepNext w:val="0"/>
        <w:keepLines w:val="0"/>
        <w:spacing w:after="40" w:before="240" w:lineRule="auto"/>
        <w:rPr>
          <w:b w:val="1"/>
          <w:bCs w:val="1"/>
          <w:color w:val="000000"/>
          <w:sz w:val="22"/>
          <w:szCs w:val="22"/>
        </w:rPr>
      </w:pPr>
      <w:bookmarkStart w:colFirst="0" w:colLast="0" w:name="_pgbwtg21bvzx" w:id="5"/>
      <w:bookmarkEnd w:id="5"/>
      <w:r w:rsidDel="00000000" w:rsidR="00000000" w:rsidRPr="00000000">
        <w:rPr>
          <w:b w:val="1"/>
          <w:bCs w:val="1"/>
          <w:color w:val="000000"/>
          <w:sz w:val="22"/>
          <w:szCs w:val="22"/>
          <w:rtl w:val="0"/>
        </w:rPr>
        <w:t xml:space="preserve">3. Violação potencial de obrigações interamericanas</w:t>
      </w:r>
    </w:p>
    <w:p w:rsidR="00000000" w:rsidDel="00000000" w:rsidP="00000000" w:rsidRDefault="00000000" w:rsidRPr="00000000" w14:paraId="00000016">
      <w:pPr>
        <w:spacing w:after="240" w:before="240" w:lineRule="auto"/>
        <w:rPr/>
      </w:pPr>
      <w:r w:rsidDel="00000000" w:rsidR="00000000" w:rsidRPr="00000000">
        <w:rPr>
          <w:rtl w:val="0"/>
        </w:rPr>
        <w:t xml:space="preserve">Os retrocessos mencionados implicam </w:t>
      </w:r>
      <w:r w:rsidDel="00000000" w:rsidR="00000000" w:rsidRPr="00000000">
        <w:rPr>
          <w:b w:val="1"/>
          <w:bCs w:val="1"/>
          <w:rtl w:val="0"/>
        </w:rPr>
        <w:t xml:space="preserve">descumprimento de obrigações do Estado brasileiro</w:t>
      </w:r>
      <w:r w:rsidDel="00000000" w:rsidR="00000000" w:rsidRPr="00000000">
        <w:rPr>
          <w:rtl w:val="0"/>
        </w:rPr>
        <w:t xml:space="preserve"> previstas em tratados ratificados no âmbito da OEA e da ONU, incluindo:</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b w:val="1"/>
          <w:bCs w:val="1"/>
          <w:rtl w:val="0"/>
        </w:rPr>
        <w:t xml:space="preserve">Artigos 1, 2, 4, 26 e 32 da Convenção Americana sobre Direitos Humanos</w:t>
      </w:r>
      <w:r w:rsidDel="00000000" w:rsidR="00000000" w:rsidRPr="00000000">
        <w:rPr>
          <w:rtl w:val="0"/>
        </w:rPr>
        <w:t xml:space="preserve">, que impõem o dever de adotar medidas internas efetivas para a realização progressiva dos direitos econômicos, sociais, culturais e ambientais (DESCA);</w:t>
        <w:br w:type="textWrapping"/>
      </w:r>
    </w:p>
    <w:p w:rsidR="00000000" w:rsidDel="00000000" w:rsidP="00000000" w:rsidRDefault="00000000" w:rsidRPr="00000000" w14:paraId="00000018">
      <w:pPr>
        <w:numPr>
          <w:ilvl w:val="0"/>
          <w:numId w:val="3"/>
        </w:numPr>
        <w:spacing w:after="0" w:before="0" w:lineRule="auto"/>
        <w:ind w:left="720" w:hanging="360"/>
      </w:pPr>
      <w:r w:rsidDel="00000000" w:rsidR="00000000" w:rsidRPr="00000000">
        <w:rPr>
          <w:b w:val="1"/>
          <w:bCs w:val="1"/>
          <w:rtl w:val="0"/>
        </w:rPr>
        <w:t xml:space="preserve">Protocolo de San Salvador</w:t>
      </w:r>
      <w:r w:rsidDel="00000000" w:rsidR="00000000" w:rsidRPr="00000000">
        <w:rPr>
          <w:rtl w:val="0"/>
        </w:rPr>
        <w:t xml:space="preserve"> (art. 11), sobre o direito a um meio ambiente sadio e equilibrado;</w:t>
      </w:r>
    </w:p>
    <w:p w:rsidR="00000000" w:rsidDel="00000000" w:rsidP="00000000" w:rsidRDefault="00000000" w:rsidRPr="00000000" w14:paraId="00000019">
      <w:pPr>
        <w:spacing w:after="0" w:before="0" w:lineRule="auto"/>
        <w:ind w:left="720" w:firstLine="0"/>
        <w:rPr/>
      </w:pPr>
      <w:r w:rsidDel="00000000" w:rsidR="00000000" w:rsidRPr="00000000">
        <w:rPr>
          <w:rtl w:val="0"/>
        </w:rPr>
      </w:r>
    </w:p>
    <w:p w:rsidR="00000000" w:rsidDel="00000000" w:rsidP="00000000" w:rsidRDefault="00000000" w:rsidRPr="00000000" w14:paraId="0000001A">
      <w:pPr>
        <w:numPr>
          <w:ilvl w:val="0"/>
          <w:numId w:val="3"/>
        </w:numPr>
        <w:spacing w:after="0" w:afterAutospacing="0" w:before="0" w:lineRule="auto"/>
        <w:ind w:left="720" w:hanging="360"/>
      </w:pPr>
      <w:r w:rsidDel="00000000" w:rsidR="00000000" w:rsidRPr="00000000">
        <w:rPr>
          <w:b w:val="1"/>
          <w:bCs w:val="1"/>
          <w:rtl w:val="0"/>
        </w:rPr>
        <w:t xml:space="preserve">Opinião Consultiva OC-23/17 da Corte IDH</w:t>
      </w:r>
      <w:r w:rsidDel="00000000" w:rsidR="00000000" w:rsidRPr="00000000">
        <w:rPr>
          <w:rtl w:val="0"/>
        </w:rPr>
        <w:t xml:space="preserve">, violando a consolidação de uma justiça interamericana que reconhece o meio ambiente sadio como direito autônomo e fundamental;</w:t>
      </w:r>
      <w:r w:rsidDel="00000000" w:rsidR="00000000" w:rsidRPr="00000000">
        <w:rPr>
          <w:rtl w:val="0"/>
        </w:rPr>
        <w:br w:type="textWrapping"/>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b w:val="1"/>
          <w:bCs w:val="1"/>
          <w:rtl w:val="0"/>
        </w:rPr>
        <w:t xml:space="preserve">Convenção 169 da OIT</w:t>
      </w:r>
      <w:r w:rsidDel="00000000" w:rsidR="00000000" w:rsidRPr="00000000">
        <w:rPr>
          <w:rtl w:val="0"/>
        </w:rPr>
        <w:t xml:space="preserve">, sobre povos indígenas e tribais;</w:t>
        <w:br w:type="textWrapping"/>
      </w:r>
    </w:p>
    <w:p w:rsidR="00000000" w:rsidDel="00000000" w:rsidP="00000000" w:rsidRDefault="00000000" w:rsidRPr="00000000" w14:paraId="0000001C">
      <w:pPr>
        <w:numPr>
          <w:ilvl w:val="0"/>
          <w:numId w:val="3"/>
        </w:numPr>
        <w:spacing w:after="240" w:before="0" w:beforeAutospacing="0" w:lineRule="auto"/>
        <w:ind w:left="720" w:hanging="360"/>
      </w:pPr>
      <w:r w:rsidDel="00000000" w:rsidR="00000000" w:rsidRPr="00000000">
        <w:rPr>
          <w:b w:val="1"/>
          <w:bCs w:val="1"/>
          <w:rtl w:val="0"/>
        </w:rPr>
        <w:t xml:space="preserve">Princípios de Maastricht sobre Obrigações Extraterritoriais dos Estados</w:t>
      </w:r>
      <w:r w:rsidDel="00000000" w:rsidR="00000000" w:rsidRPr="00000000">
        <w:rPr>
          <w:rtl w:val="0"/>
        </w:rPr>
        <w:t xml:space="preserve"> e </w:t>
      </w:r>
      <w:r w:rsidDel="00000000" w:rsidR="00000000" w:rsidRPr="00000000">
        <w:rPr>
          <w:b w:val="1"/>
          <w:bCs w:val="1"/>
          <w:rtl w:val="0"/>
        </w:rPr>
        <w:t xml:space="preserve">Princípio 15 da Declaração do Rio</w:t>
      </w:r>
      <w:r w:rsidDel="00000000" w:rsidR="00000000" w:rsidRPr="00000000">
        <w:rPr>
          <w:rtl w:val="0"/>
        </w:rPr>
        <w:t xml:space="preserve"> sobre precaução ambiental.</w:t>
        <w:br w:type="textWrapping"/>
      </w:r>
    </w:p>
    <w:p w:rsidR="00000000" w:rsidDel="00000000" w:rsidP="00000000" w:rsidRDefault="00000000" w:rsidRPr="00000000" w14:paraId="0000001D">
      <w:pPr>
        <w:spacing w:after="240" w:before="240" w:lineRule="auto"/>
        <w:rPr/>
      </w:pPr>
      <w:r w:rsidDel="00000000" w:rsidR="00000000" w:rsidRPr="00000000">
        <w:rPr>
          <w:rtl w:val="0"/>
        </w:rPr>
        <w:t xml:space="preserve">Ao flexibilizar os instrumentos de controle, consulta e avaliação ambiental, o Estado brasileiro </w:t>
      </w:r>
      <w:r w:rsidDel="00000000" w:rsidR="00000000" w:rsidRPr="00000000">
        <w:rPr>
          <w:b w:val="1"/>
          <w:bCs w:val="1"/>
          <w:rtl w:val="0"/>
        </w:rPr>
        <w:t xml:space="preserve">fragiliza garantias essenciais à proteção da vida, da saúde, da alimentação, da água e do território de povos indígenas, comunidades quilombolas e tradicionais</w:t>
      </w:r>
      <w:r w:rsidDel="00000000" w:rsidR="00000000" w:rsidRPr="00000000">
        <w:rPr>
          <w:rtl w:val="0"/>
        </w:rPr>
        <w:t xml:space="preserve">, e de toda a população afetada por grandes empreendimentos de infraestrutura, mineração, energia e agronegócio.</w:t>
      </w:r>
    </w:p>
    <w:p w:rsidR="00000000" w:rsidDel="00000000" w:rsidP="00000000" w:rsidRDefault="00000000" w:rsidRPr="00000000" w14:paraId="0000001E">
      <w:pPr>
        <w:pStyle w:val="Heading4"/>
        <w:keepNext w:val="0"/>
        <w:keepLines w:val="0"/>
        <w:spacing w:after="40" w:before="240" w:lineRule="auto"/>
        <w:rPr>
          <w:b w:val="1"/>
          <w:bCs w:val="1"/>
          <w:color w:val="000000"/>
          <w:sz w:val="22"/>
          <w:szCs w:val="22"/>
        </w:rPr>
      </w:pPr>
      <w:bookmarkStart w:colFirst="0" w:colLast="0" w:name="_l01fb9r038gq" w:id="6"/>
      <w:bookmarkEnd w:id="6"/>
      <w:r w:rsidDel="00000000" w:rsidR="00000000" w:rsidRPr="00000000">
        <w:rPr>
          <w:b w:val="1"/>
          <w:bCs w:val="1"/>
          <w:color w:val="000000"/>
          <w:sz w:val="22"/>
          <w:szCs w:val="22"/>
          <w:rtl w:val="0"/>
        </w:rPr>
        <w:t xml:space="preserve">4. Relevância do precedente REDESCA – Enchentes no Rio Grande do Sul (2025)</w:t>
      </w:r>
    </w:p>
    <w:p w:rsidR="00000000" w:rsidDel="00000000" w:rsidP="00000000" w:rsidRDefault="00000000" w:rsidRPr="00000000" w14:paraId="0000001F">
      <w:pPr>
        <w:spacing w:after="240" w:before="240" w:lineRule="auto"/>
        <w:rPr/>
      </w:pPr>
      <w:r w:rsidDel="00000000" w:rsidR="00000000" w:rsidRPr="00000000">
        <w:rPr>
          <w:rtl w:val="0"/>
        </w:rPr>
        <w:t xml:space="preserve">O </w:t>
      </w:r>
      <w:r w:rsidDel="00000000" w:rsidR="00000000" w:rsidRPr="00000000">
        <w:rPr>
          <w:b w:val="1"/>
          <w:bCs w:val="1"/>
          <w:rtl w:val="0"/>
        </w:rPr>
        <w:t xml:space="preserve">Informe REDESCA “Impactos das Enchentes no Rio Grande do Sul” (OEA/Ser.L/V/III, Doc. 50/25)</w:t>
      </w:r>
      <w:r w:rsidDel="00000000" w:rsidR="00000000" w:rsidRPr="00000000">
        <w:rPr>
          <w:rtl w:val="0"/>
        </w:rPr>
        <w:t xml:space="preserve"> reconheceu expressamente a </w:t>
      </w:r>
      <w:r w:rsidDel="00000000" w:rsidR="00000000" w:rsidRPr="00000000">
        <w:rPr>
          <w:b w:val="1"/>
          <w:bCs w:val="1"/>
          <w:rtl w:val="0"/>
        </w:rPr>
        <w:t xml:space="preserve">correlação entre o desmonte de legislações ambientais estaduais e os desastres socioambientais</w:t>
      </w:r>
      <w:r w:rsidDel="00000000" w:rsidR="00000000" w:rsidRPr="00000000">
        <w:rPr>
          <w:rtl w:val="0"/>
        </w:rPr>
        <w:t xml:space="preserve"> que afetaram milhões de pessoas. A Comissão destacou que </w:t>
      </w:r>
      <w:r w:rsidDel="00000000" w:rsidR="00000000" w:rsidRPr="00000000">
        <w:rPr>
          <w:b w:val="1"/>
          <w:bCs w:val="1"/>
          <w:rtl w:val="0"/>
        </w:rPr>
        <w:t xml:space="preserve">a degradação institucional e a omissão na prevenção de riscos ambientais configuram violação aos direitos humanos e ambientais protegidos pelo sistema interamericano</w:t>
      </w:r>
      <w:r w:rsidDel="00000000" w:rsidR="00000000" w:rsidRPr="00000000">
        <w:rPr>
          <w:rtl w:val="0"/>
        </w:rPr>
        <w:t xml:space="preserve">.</w:t>
      </w:r>
    </w:p>
    <w:p w:rsidR="00000000" w:rsidDel="00000000" w:rsidP="00000000" w:rsidRDefault="00000000" w:rsidRPr="00000000" w14:paraId="00000020">
      <w:pPr>
        <w:spacing w:after="240" w:before="240" w:lineRule="auto"/>
        <w:rPr/>
      </w:pPr>
      <w:r w:rsidDel="00000000" w:rsidR="00000000" w:rsidRPr="00000000">
        <w:rPr>
          <w:rtl w:val="0"/>
        </w:rPr>
        <w:t xml:space="preserve">Esse precedente é particularmente relevante diante da </w:t>
      </w:r>
      <w:r w:rsidDel="00000000" w:rsidR="00000000" w:rsidRPr="00000000">
        <w:rPr>
          <w:b w:val="1"/>
          <w:bCs w:val="1"/>
          <w:rtl w:val="0"/>
        </w:rPr>
        <w:t xml:space="preserve">repetição do padrão de retrocesso</w:t>
      </w:r>
      <w:r w:rsidDel="00000000" w:rsidR="00000000" w:rsidRPr="00000000">
        <w:rPr>
          <w:rtl w:val="0"/>
        </w:rPr>
        <w:t xml:space="preserve">, agora em escala nacional, com a </w:t>
      </w:r>
      <w:r w:rsidDel="00000000" w:rsidR="00000000" w:rsidRPr="00000000">
        <w:rPr>
          <w:b w:val="1"/>
          <w:bCs w:val="1"/>
          <w:rtl w:val="0"/>
        </w:rPr>
        <w:t xml:space="preserve">Lei nº 15.190/2025 e a MP nº 1.308/2025</w:t>
      </w:r>
      <w:r w:rsidDel="00000000" w:rsidR="00000000" w:rsidRPr="00000000">
        <w:rPr>
          <w:rtl w:val="0"/>
        </w:rPr>
        <w:t xml:space="preserve">.</w:t>
        <w:br w:type="textWrapping"/>
        <w:br w:type="textWrapping"/>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5. Solicitação e recomendação</w:t>
      </w:r>
    </w:p>
    <w:p w:rsidR="00000000" w:rsidDel="00000000" w:rsidP="00000000" w:rsidRDefault="00000000" w:rsidRPr="00000000" w14:paraId="00000022">
      <w:pPr>
        <w:spacing w:after="240" w:before="240" w:lineRule="auto"/>
        <w:rPr/>
      </w:pPr>
      <w:r w:rsidDel="00000000" w:rsidR="00000000" w:rsidRPr="00000000">
        <w:rPr>
          <w:rtl w:val="0"/>
        </w:rPr>
        <w:t xml:space="preserve">Diante do exposto, </w:t>
      </w:r>
      <w:r w:rsidDel="00000000" w:rsidR="00000000" w:rsidRPr="00000000">
        <w:rPr>
          <w:b w:val="1"/>
          <w:bCs w:val="1"/>
          <w:rtl w:val="0"/>
        </w:rPr>
        <w:t xml:space="preserve">o ISPN, o Washington Brazil Office (WBO) e o Observatório do Clima</w:t>
      </w:r>
      <w:r w:rsidDel="00000000" w:rsidR="00000000" w:rsidRPr="00000000">
        <w:rPr>
          <w:rtl w:val="0"/>
        </w:rPr>
        <w:t xml:space="preserve"> solicitam à </w:t>
      </w:r>
      <w:r w:rsidDel="00000000" w:rsidR="00000000" w:rsidRPr="00000000">
        <w:rPr>
          <w:b w:val="1"/>
          <w:bCs w:val="1"/>
          <w:rtl w:val="0"/>
        </w:rPr>
        <w:t xml:space="preserve">Relatoria Especial sobre Direitos Econômicos, Sociais, Culturais e Ambientais da CIDH (REDESCA)</w:t>
      </w:r>
      <w:r w:rsidDel="00000000" w:rsidR="00000000" w:rsidRPr="00000000">
        <w:rPr>
          <w:rtl w:val="0"/>
        </w:rPr>
        <w:t xml:space="preserve"> que:</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b w:val="1"/>
          <w:bCs w:val="1"/>
          <w:rtl w:val="0"/>
        </w:rPr>
        <w:t xml:space="preserve">Emita uma recomendação pública ao Estado brasileiro</w:t>
      </w:r>
      <w:r w:rsidDel="00000000" w:rsidR="00000000" w:rsidRPr="00000000">
        <w:rPr>
          <w:rtl w:val="0"/>
        </w:rPr>
        <w:t xml:space="preserve">, instando-o a:</w:t>
        <w:br w:type="textWrapping"/>
      </w:r>
    </w:p>
    <w:p w:rsidR="00000000" w:rsidDel="00000000" w:rsidP="00000000" w:rsidRDefault="00000000" w:rsidRPr="00000000" w14:paraId="00000024">
      <w:pPr>
        <w:numPr>
          <w:ilvl w:val="1"/>
          <w:numId w:val="2"/>
        </w:numPr>
        <w:spacing w:after="200" w:before="0" w:lineRule="auto"/>
        <w:ind w:left="1440" w:hanging="360"/>
      </w:pPr>
      <w:r w:rsidDel="00000000" w:rsidR="00000000" w:rsidRPr="00000000">
        <w:rPr>
          <w:b w:val="1"/>
          <w:bCs w:val="1"/>
          <w:rtl w:val="0"/>
        </w:rPr>
        <w:t xml:space="preserve">Excluir </w:t>
      </w:r>
      <w:r w:rsidDel="00000000" w:rsidR="00000000" w:rsidRPr="00000000">
        <w:rPr>
          <w:b w:val="1"/>
          <w:bCs w:val="1"/>
          <w:rtl w:val="0"/>
        </w:rPr>
        <w:t xml:space="preserve">a Licença Ambiental Especial (LAE)</w:t>
      </w:r>
      <w:r w:rsidDel="00000000" w:rsidR="00000000" w:rsidRPr="00000000">
        <w:rPr>
          <w:rtl w:val="0"/>
        </w:rPr>
        <w:t xml:space="preserve"> </w:t>
      </w:r>
      <w:r w:rsidDel="00000000" w:rsidR="00000000" w:rsidRPr="00000000">
        <w:rPr>
          <w:rtl w:val="0"/>
        </w:rPr>
        <w:t xml:space="preserve">dos textos normativos e demais atos correlatos ao sistema de licenciamento ambiental brasileiro;</w:t>
      </w:r>
      <w:r w:rsidDel="00000000" w:rsidR="00000000" w:rsidRPr="00000000">
        <w:rPr>
          <w:rtl w:val="0"/>
        </w:rPr>
      </w:r>
    </w:p>
    <w:p w:rsidR="00000000" w:rsidDel="00000000" w:rsidP="00000000" w:rsidRDefault="00000000" w:rsidRPr="00000000" w14:paraId="00000025">
      <w:pPr>
        <w:numPr>
          <w:ilvl w:val="1"/>
          <w:numId w:val="2"/>
        </w:numPr>
        <w:spacing w:after="200" w:before="0" w:lineRule="auto"/>
        <w:ind w:left="1440" w:hanging="360"/>
      </w:pPr>
      <w:r w:rsidDel="00000000" w:rsidR="00000000" w:rsidRPr="00000000">
        <w:rPr>
          <w:b w:val="1"/>
          <w:bCs w:val="1"/>
          <w:rtl w:val="0"/>
        </w:rPr>
        <w:t xml:space="preserve">Assegurar a plena aplicação da Convenção 169 da OIT</w:t>
      </w:r>
      <w:r w:rsidDel="00000000" w:rsidR="00000000" w:rsidRPr="00000000">
        <w:rPr>
          <w:rtl w:val="0"/>
        </w:rPr>
        <w:t xml:space="preserve"> em todos os níveis do licenciamento ambiental, inclusive para comunidades tradicionais não tituladas e terras indígenas não demarcadas;</w:t>
      </w:r>
      <w:r w:rsidDel="00000000" w:rsidR="00000000" w:rsidRPr="00000000">
        <w:rPr>
          <w:rtl w:val="0"/>
        </w:rPr>
      </w:r>
    </w:p>
    <w:p w:rsidR="00000000" w:rsidDel="00000000" w:rsidP="00000000" w:rsidRDefault="00000000" w:rsidRPr="00000000" w14:paraId="00000026">
      <w:pPr>
        <w:numPr>
          <w:ilvl w:val="1"/>
          <w:numId w:val="2"/>
        </w:numPr>
        <w:spacing w:after="200" w:before="0" w:lineRule="auto"/>
        <w:ind w:left="1440" w:hanging="360"/>
        <w:rPr>
          <w:u w:val="none"/>
        </w:rPr>
      </w:pPr>
      <w:r w:rsidDel="00000000" w:rsidR="00000000" w:rsidRPr="00000000">
        <w:rPr>
          <w:b w:val="1"/>
          <w:bCs w:val="1"/>
          <w:rtl w:val="0"/>
        </w:rPr>
        <w:t xml:space="preserve">Restringir a aplicação da Licença por Adesão e Compromisso (LAC) </w:t>
      </w:r>
      <w:r w:rsidDel="00000000" w:rsidR="00000000" w:rsidRPr="00000000">
        <w:rPr>
          <w:rtl w:val="0"/>
        </w:rPr>
        <w:t xml:space="preserve">a projetos de pequeno porte e potencial poluidor, e baixo risco.</w:t>
      </w:r>
    </w:p>
    <w:p w:rsidR="00000000" w:rsidDel="00000000" w:rsidP="00000000" w:rsidRDefault="00000000" w:rsidRPr="00000000" w14:paraId="00000027">
      <w:pPr>
        <w:numPr>
          <w:ilvl w:val="1"/>
          <w:numId w:val="2"/>
        </w:numPr>
        <w:spacing w:after="200" w:before="240" w:lineRule="auto"/>
        <w:ind w:left="1440" w:hanging="360"/>
      </w:pPr>
      <w:r w:rsidDel="00000000" w:rsidR="00000000" w:rsidRPr="00000000">
        <w:rPr>
          <w:b w:val="1"/>
          <w:bCs w:val="1"/>
          <w:rtl w:val="0"/>
        </w:rPr>
        <w:t xml:space="preserve">Garantir a compatibilidade da Lei nº 15.190/2025 com a Constituição Federal, princípios jurídicos e com os compromissos internacionais de direitos humanos, ambientais e climáticos</w:t>
      </w:r>
      <w:r w:rsidDel="00000000" w:rsidR="00000000" w:rsidRPr="00000000">
        <w:rPr>
          <w:rtl w:val="0"/>
        </w:rPr>
        <w:t xml:space="preserve">, promovendo uma revisão participativa e técnica da norma;</w:t>
      </w:r>
    </w:p>
    <w:p w:rsidR="00000000" w:rsidDel="00000000" w:rsidP="00000000" w:rsidRDefault="00000000" w:rsidRPr="00000000" w14:paraId="00000028">
      <w:pPr>
        <w:numPr>
          <w:ilvl w:val="1"/>
          <w:numId w:val="2"/>
        </w:numPr>
        <w:spacing w:after="200" w:before="240" w:lineRule="auto"/>
        <w:ind w:left="1440" w:hanging="360"/>
      </w:pPr>
      <w:r w:rsidDel="00000000" w:rsidR="00000000" w:rsidRPr="00000000">
        <w:rPr>
          <w:b w:val="1"/>
          <w:bCs w:val="1"/>
          <w:rtl w:val="0"/>
        </w:rPr>
        <w:t xml:space="preserve">Assegurar a opinião técnica vinculativa dos órgãos públicos no licenciamento ambiental brasileiro</w:t>
      </w:r>
      <w:r w:rsidDel="00000000" w:rsidR="00000000" w:rsidRPr="00000000">
        <w:rPr>
          <w:rtl w:val="0"/>
        </w:rPr>
        <w:t xml:space="preserve">, especialmente os relacionados às temáticas indígenas, quilombolas, de unidades de conservação, de saúde e do patrimônio histórico, artístico e cultural.</w:t>
      </w:r>
    </w:p>
    <w:p w:rsidR="00000000" w:rsidDel="00000000" w:rsidP="00000000" w:rsidRDefault="00000000" w:rsidRPr="00000000" w14:paraId="00000029">
      <w:pPr>
        <w:numPr>
          <w:ilvl w:val="1"/>
          <w:numId w:val="2"/>
        </w:numPr>
        <w:spacing w:after="200" w:before="240" w:lineRule="auto"/>
        <w:ind w:left="1440" w:hanging="360"/>
      </w:pPr>
      <w:r w:rsidDel="00000000" w:rsidR="00000000" w:rsidRPr="00000000">
        <w:rPr>
          <w:b w:val="1"/>
          <w:bCs w:val="1"/>
          <w:rtl w:val="0"/>
        </w:rPr>
        <w:t xml:space="preserve">Garantir o fortalecimento dos órgãos públicos</w:t>
      </w:r>
      <w:r w:rsidDel="00000000" w:rsidR="00000000" w:rsidRPr="00000000">
        <w:rPr>
          <w:rtl w:val="0"/>
        </w:rPr>
        <w:t xml:space="preserve"> licenciadores e de fiscalização, direcionando orçamento, proteção, recursos humanos e constante capacitação para o exercício pleno das suas funções.</w:t>
      </w:r>
    </w:p>
    <w:p w:rsidR="00000000" w:rsidDel="00000000" w:rsidP="00000000" w:rsidRDefault="00000000" w:rsidRPr="00000000" w14:paraId="0000002A">
      <w:pPr>
        <w:numPr>
          <w:ilvl w:val="1"/>
          <w:numId w:val="2"/>
        </w:numPr>
        <w:spacing w:after="200" w:afterAutospacing="0" w:before="0" w:lineRule="auto"/>
        <w:ind w:left="1440" w:hanging="360"/>
      </w:pPr>
      <w:r w:rsidDel="00000000" w:rsidR="00000000" w:rsidRPr="00000000">
        <w:rPr>
          <w:b w:val="1"/>
          <w:bCs w:val="1"/>
          <w:rtl w:val="0"/>
        </w:rPr>
        <w:t xml:space="preserve">Evitar a aprovação de novas medidas legislativas</w:t>
      </w:r>
      <w:r w:rsidDel="00000000" w:rsidR="00000000" w:rsidRPr="00000000">
        <w:rPr>
          <w:rtl w:val="0"/>
        </w:rPr>
        <w:t xml:space="preserve"> (como o PL nº 3.834/2025) que reintroduzam dispositivos vetados e agravem a regressão socioambiental.</w:t>
        <w:br w:type="textWrapping"/>
      </w:r>
    </w:p>
    <w:p w:rsidR="00000000" w:rsidDel="00000000" w:rsidP="00000000" w:rsidRDefault="00000000" w:rsidRPr="00000000" w14:paraId="0000002B">
      <w:pPr>
        <w:numPr>
          <w:ilvl w:val="0"/>
          <w:numId w:val="2"/>
        </w:numPr>
        <w:spacing w:after="240" w:before="200" w:beforeAutospacing="0" w:lineRule="auto"/>
        <w:ind w:left="720" w:hanging="360"/>
      </w:pPr>
      <w:r w:rsidDel="00000000" w:rsidR="00000000" w:rsidRPr="00000000">
        <w:rPr>
          <w:b w:val="1"/>
          <w:bCs w:val="1"/>
          <w:rtl w:val="0"/>
        </w:rPr>
        <w:t xml:space="preserve">Incluir este tema no próximo Relatório Anual da REDESCA sobre o Brasil</w:t>
      </w:r>
      <w:r w:rsidDel="00000000" w:rsidR="00000000" w:rsidRPr="00000000">
        <w:rPr>
          <w:rtl w:val="0"/>
        </w:rPr>
        <w:t xml:space="preserve">, reconhecendo o risco de </w:t>
      </w:r>
      <w:r w:rsidDel="00000000" w:rsidR="00000000" w:rsidRPr="00000000">
        <w:rPr>
          <w:b w:val="1"/>
          <w:bCs w:val="1"/>
          <w:rtl w:val="0"/>
        </w:rPr>
        <w:t xml:space="preserve">retrocesso estrutural nos mecanismos de controle ambiental e de violação massiva de direitos humanos, econômicos, sociais, culturais e ambientais.</w:t>
      </w:r>
      <w:r w:rsidDel="00000000" w:rsidR="00000000" w:rsidRPr="00000000">
        <w:rPr>
          <w:rtl w:val="0"/>
        </w:rPr>
      </w:r>
    </w:p>
    <w:p w:rsidR="00000000" w:rsidDel="00000000" w:rsidP="00000000" w:rsidRDefault="00000000" w:rsidRPr="00000000" w14:paraId="0000002C">
      <w:pPr>
        <w:pStyle w:val="Heading4"/>
        <w:keepNext w:val="0"/>
        <w:keepLines w:val="0"/>
        <w:spacing w:after="40" w:before="240" w:lineRule="auto"/>
        <w:rPr>
          <w:b w:val="1"/>
          <w:bCs w:val="1"/>
          <w:color w:val="000000"/>
          <w:sz w:val="22"/>
          <w:szCs w:val="22"/>
        </w:rPr>
      </w:pPr>
      <w:bookmarkStart w:colFirst="0" w:colLast="0" w:name="_ktdutzyr34xp" w:id="7"/>
      <w:bookmarkEnd w:id="7"/>
      <w:r w:rsidDel="00000000" w:rsidR="00000000" w:rsidRPr="00000000">
        <w:rPr>
          <w:b w:val="1"/>
          <w:bCs w:val="1"/>
          <w:color w:val="000000"/>
          <w:sz w:val="22"/>
          <w:szCs w:val="22"/>
          <w:rtl w:val="0"/>
        </w:rPr>
        <w:t xml:space="preserve">6. Considerações finais</w:t>
      </w:r>
    </w:p>
    <w:p w:rsidR="00000000" w:rsidDel="00000000" w:rsidP="00000000" w:rsidRDefault="00000000" w:rsidRPr="00000000" w14:paraId="0000002D">
      <w:pPr>
        <w:spacing w:after="240" w:before="240" w:lineRule="auto"/>
        <w:rPr/>
      </w:pPr>
      <w:r w:rsidDel="00000000" w:rsidR="00000000" w:rsidRPr="00000000">
        <w:rPr>
          <w:rtl w:val="0"/>
        </w:rPr>
        <w:t xml:space="preserve">O </w:t>
      </w:r>
      <w:r w:rsidDel="00000000" w:rsidR="00000000" w:rsidRPr="00000000">
        <w:rPr>
          <w:b w:val="1"/>
          <w:bCs w:val="1"/>
          <w:rtl w:val="0"/>
        </w:rPr>
        <w:t xml:space="preserve">ISPN, WBO, Conectas e o Observatório do Clima </w:t>
      </w:r>
      <w:r w:rsidDel="00000000" w:rsidR="00000000" w:rsidRPr="00000000">
        <w:rPr>
          <w:rtl w:val="0"/>
        </w:rPr>
        <w:t xml:space="preserve">reafirmam seu compromisso com a defesa dos direitos humanos, ambientais e climáticos, destacando que o fortalecimento do licenciamento ambiental é condição indispensável para a prevenção de desastres, a integridade climática e a segurança jurídica do desenvolvimento.</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A experiência recente das tragédias socioambientais no país demonstra que a flexibilização normativa não acelera o desenvolvimento</w:t>
      </w:r>
      <w:r w:rsidDel="00000000" w:rsidR="00000000" w:rsidRPr="00000000">
        <w:rPr>
          <w:rtl w:val="0"/>
        </w:rPr>
        <w:t xml:space="preserve">, somente multiplica seus custos humanos e ecológicos, promovendo desastres e impactos negativos no meio ambiente e na população.</w:t>
      </w:r>
    </w:p>
    <w:p w:rsidR="00000000" w:rsidDel="00000000" w:rsidP="00000000" w:rsidRDefault="00000000" w:rsidRPr="00000000" w14:paraId="0000002F">
      <w:pPr>
        <w:spacing w:after="240" w:before="240" w:lineRule="auto"/>
        <w:rPr/>
      </w:pPr>
      <w:r w:rsidDel="00000000" w:rsidR="00000000" w:rsidRPr="00000000">
        <w:rPr>
          <w:rtl w:val="0"/>
        </w:rPr>
        <w:t xml:space="preserve">Solicitamos que a CIDH, por meio da REDESCA, acompanhe proativamente o caso, como marco de referência interamericano para a proteção de garantias ambientais em contextos de regressão institucional.</w:t>
      </w:r>
    </w:p>
    <w:p w:rsidR="00000000" w:rsidDel="00000000" w:rsidP="00000000" w:rsidRDefault="00000000" w:rsidRPr="00000000" w14:paraId="00000030">
      <w:pPr>
        <w:spacing w:after="240" w:before="240" w:lineRule="auto"/>
        <w:jc w:val="right"/>
        <w:rPr/>
      </w:pPr>
      <w:r w:rsidDel="00000000" w:rsidR="00000000" w:rsidRPr="00000000">
        <w:rPr>
          <w:rtl w:val="0"/>
        </w:rPr>
        <w:t xml:space="preserve">Brasília / Washington, D.C., 14 novembro de 2025</w:t>
      </w:r>
    </w:p>
    <w:p w:rsidR="00000000" w:rsidDel="00000000" w:rsidP="00000000" w:rsidRDefault="00000000" w:rsidRPr="00000000" w14:paraId="00000031">
      <w:pPr>
        <w:spacing w:after="240" w:before="240" w:lineRule="auto"/>
        <w:jc w:val="right"/>
        <w:rPr/>
      </w:pPr>
      <w:r w:rsidDel="00000000" w:rsidR="00000000" w:rsidRPr="00000000">
        <w:rPr>
          <w:rtl w:val="0"/>
        </w:rPr>
      </w:r>
    </w:p>
    <w:p w:rsidR="00000000" w:rsidDel="00000000" w:rsidP="00000000" w:rsidRDefault="00000000" w:rsidRPr="00000000" w14:paraId="00000032">
      <w:pPr>
        <w:spacing w:after="240" w:before="240" w:lineRule="auto"/>
        <w:jc w:val="right"/>
        <w:rPr/>
      </w:pPr>
      <w:r w:rsidDel="00000000" w:rsidR="00000000" w:rsidRPr="00000000">
        <w:rPr>
          <w:rtl w:val="0"/>
        </w:rPr>
      </w:r>
    </w:p>
    <w:p w:rsidR="00000000" w:rsidDel="00000000" w:rsidP="00000000" w:rsidRDefault="00000000" w:rsidRPr="00000000" w14:paraId="00000033">
      <w:pPr>
        <w:spacing w:after="240" w:before="240" w:lineRule="auto"/>
        <w:rPr>
          <w:b w:val="1"/>
          <w:bCs w:val="1"/>
          <w:i w:val="1"/>
          <w:iCs w:val="1"/>
        </w:rPr>
      </w:pPr>
      <w:r w:rsidDel="00000000" w:rsidR="00000000" w:rsidRPr="00000000">
        <w:rPr>
          <w:b w:val="1"/>
          <w:bCs w:val="1"/>
          <w:i w:val="1"/>
          <w:iCs w:val="1"/>
          <w:rtl w:val="0"/>
        </w:rPr>
        <w:t xml:space="preserve">Instituto Sociedade, População e Natureza (ISPN)</w:t>
      </w:r>
    </w:p>
    <w:p w:rsidR="00000000" w:rsidDel="00000000" w:rsidP="00000000" w:rsidRDefault="00000000" w:rsidRPr="00000000" w14:paraId="00000034">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35">
      <w:pPr>
        <w:spacing w:after="240" w:before="240" w:lineRule="auto"/>
        <w:rPr>
          <w:b w:val="1"/>
          <w:bCs w:val="1"/>
          <w:i w:val="1"/>
          <w:iCs w:val="1"/>
        </w:rPr>
      </w:pPr>
      <w:r w:rsidDel="00000000" w:rsidR="00000000" w:rsidRPr="00000000">
        <w:rPr>
          <w:b w:val="1"/>
          <w:bCs w:val="1"/>
          <w:i w:val="1"/>
          <w:iCs w:val="1"/>
          <w:rtl w:val="0"/>
        </w:rPr>
        <w:t xml:space="preserve">Washington Brazil</w:t>
      </w:r>
      <w:r w:rsidDel="00000000" w:rsidR="00000000" w:rsidRPr="00000000">
        <w:rPr>
          <w:b w:val="1"/>
          <w:bCs w:val="1"/>
          <w:rtl w:val="0"/>
        </w:rPr>
        <w:t xml:space="preserve"> </w:t>
      </w:r>
      <w:r w:rsidDel="00000000" w:rsidR="00000000" w:rsidRPr="00000000">
        <w:rPr>
          <w:b w:val="1"/>
          <w:bCs w:val="1"/>
          <w:i w:val="1"/>
          <w:iCs w:val="1"/>
          <w:rtl w:val="0"/>
        </w:rPr>
        <w:t xml:space="preserve">Office (WBO)</w:t>
      </w:r>
    </w:p>
    <w:p w:rsidR="00000000" w:rsidDel="00000000" w:rsidP="00000000" w:rsidRDefault="00000000" w:rsidRPr="00000000" w14:paraId="00000036">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37">
      <w:pPr>
        <w:spacing w:after="240" w:before="240" w:lineRule="auto"/>
        <w:rPr>
          <w:b w:val="1"/>
          <w:bCs w:val="1"/>
          <w:i w:val="1"/>
          <w:iCs w:val="1"/>
        </w:rPr>
      </w:pPr>
      <w:r w:rsidDel="00000000" w:rsidR="00000000" w:rsidRPr="00000000">
        <w:rPr>
          <w:b w:val="1"/>
          <w:bCs w:val="1"/>
          <w:i w:val="1"/>
          <w:iCs w:val="1"/>
          <w:rtl w:val="0"/>
        </w:rPr>
        <w:t xml:space="preserve">Conectas Direitos Humanos</w:t>
      </w:r>
    </w:p>
    <w:p w:rsidR="00000000" w:rsidDel="00000000" w:rsidP="00000000" w:rsidRDefault="00000000" w:rsidRPr="00000000" w14:paraId="00000038">
      <w:pPr>
        <w:spacing w:after="240" w:before="240" w:lineRule="auto"/>
        <w:rPr>
          <w:b w:val="1"/>
          <w:bCs w:val="1"/>
          <w:i w:val="1"/>
          <w:iCs w:val="1"/>
        </w:rPr>
      </w:pPr>
      <w:r w:rsidDel="00000000" w:rsidR="00000000" w:rsidRPr="00000000">
        <w:rPr>
          <w:rtl w:val="0"/>
        </w:rPr>
      </w:r>
    </w:p>
    <w:p w:rsidR="00000000" w:rsidDel="00000000" w:rsidP="00000000" w:rsidRDefault="00000000" w:rsidRPr="00000000" w14:paraId="00000039">
      <w:pPr>
        <w:spacing w:after="240" w:before="240" w:lineRule="auto"/>
        <w:rPr>
          <w:b w:val="1"/>
          <w:bCs w:val="1"/>
          <w:sz w:val="34"/>
          <w:szCs w:val="34"/>
        </w:rPr>
        <w:sectPr>
          <w:pgSz w:h="16834" w:w="11909" w:orient="portrait"/>
          <w:pgMar w:bottom="1440" w:top="1440" w:left="1440" w:right="1440" w:header="720" w:footer="720"/>
          <w:pgNumType w:start="1"/>
        </w:sectPr>
      </w:pPr>
      <w:r w:rsidDel="00000000" w:rsidR="00000000" w:rsidRPr="00000000">
        <w:rPr>
          <w:b w:val="1"/>
          <w:bCs w:val="1"/>
          <w:i w:val="1"/>
          <w:iCs w:val="1"/>
          <w:rtl w:val="0"/>
        </w:rPr>
        <w:t xml:space="preserve">Observatório do Clima</w:t>
      </w: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x1t43c2i2m87" w:id="8"/>
      <w:bookmarkEnd w:id="8"/>
      <w:r w:rsidDel="00000000" w:rsidR="00000000" w:rsidRPr="00000000">
        <w:rPr>
          <w:b w:val="1"/>
          <w:bCs w:val="1"/>
          <w:sz w:val="34"/>
          <w:szCs w:val="34"/>
          <w:rtl w:val="0"/>
        </w:rPr>
        <w:t xml:space="preserve">ANEXO TÉCNICO RESUMIDO</w:t>
      </w:r>
    </w:p>
    <w:p w:rsidR="00000000" w:rsidDel="00000000" w:rsidP="00000000" w:rsidRDefault="00000000" w:rsidRPr="00000000" w14:paraId="0000003B">
      <w:pPr>
        <w:spacing w:after="240" w:before="240" w:lineRule="auto"/>
        <w:ind w:right="-182.5984251968498"/>
        <w:rPr>
          <w:b w:val="1"/>
          <w:bCs w:val="1"/>
        </w:rPr>
      </w:pPr>
      <w:r w:rsidDel="00000000" w:rsidR="00000000" w:rsidRPr="00000000">
        <w:rPr>
          <w:b w:val="1"/>
          <w:bCs w:val="1"/>
          <w:rtl w:val="0"/>
        </w:rPr>
        <w:t xml:space="preserve">Lei nº 15.190/2025, Medida Provisória nº 1.308/2025 e PL nº 3.834/2025</w:t>
        <w:br w:type="textWrapping"/>
        <w:t xml:space="preserve">Principais dispositivos críticos e incompatibilidades com as obrigações internacionais do Brasil em matéria de DESCA</w:t>
      </w:r>
    </w:p>
    <w:p w:rsidR="00000000" w:rsidDel="00000000" w:rsidP="00000000" w:rsidRDefault="00000000" w:rsidRPr="00000000" w14:paraId="0000003C">
      <w:pPr>
        <w:ind w:right="-182.5984251968498"/>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015.0" w:type="dxa"/>
        <w:jc w:val="left"/>
        <w:tblLayout w:type="fixed"/>
        <w:tblLook w:val="0600"/>
      </w:tblPr>
      <w:tblGrid>
        <w:gridCol w:w="1740"/>
        <w:gridCol w:w="2400"/>
        <w:gridCol w:w="2745"/>
        <w:gridCol w:w="2130"/>
        <w:tblGridChange w:id="0">
          <w:tblGrid>
            <w:gridCol w:w="1740"/>
            <w:gridCol w:w="2400"/>
            <w:gridCol w:w="2745"/>
            <w:gridCol w:w="2130"/>
          </w:tblGrid>
        </w:tblGridChange>
      </w:tblGrid>
      <w:tr>
        <w:trPr>
          <w:cantSplit w:val="0"/>
          <w:trHeight w:val="7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D">
            <w:pPr>
              <w:ind w:right="-182.5984251968498"/>
              <w:jc w:val="center"/>
              <w:rPr/>
            </w:pPr>
            <w:r w:rsidDel="00000000" w:rsidR="00000000" w:rsidRPr="00000000">
              <w:rPr>
                <w:b w:val="1"/>
                <w:bCs w:val="1"/>
                <w:rtl w:val="0"/>
              </w:rPr>
              <w:t xml:space="preserve">Dispositivo / instrumento</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E">
            <w:pPr>
              <w:ind w:right="-68.2677165354329"/>
              <w:jc w:val="center"/>
              <w:rPr>
                <w:b w:val="1"/>
                <w:bCs w:val="1"/>
              </w:rPr>
            </w:pPr>
            <w:r w:rsidDel="00000000" w:rsidR="00000000" w:rsidRPr="00000000">
              <w:rPr>
                <w:b w:val="1"/>
                <w:bCs w:val="1"/>
                <w:rtl w:val="0"/>
              </w:rPr>
              <w:t xml:space="preserve">Conteúdo normativo </w:t>
            </w:r>
          </w:p>
          <w:p w:rsidR="00000000" w:rsidDel="00000000" w:rsidP="00000000" w:rsidRDefault="00000000" w:rsidRPr="00000000" w14:paraId="0000003F">
            <w:pPr>
              <w:ind w:right="-68.2677165354329"/>
              <w:jc w:val="center"/>
              <w:rPr/>
            </w:pPr>
            <w:r w:rsidDel="00000000" w:rsidR="00000000" w:rsidRPr="00000000">
              <w:rPr>
                <w:b w:val="1"/>
                <w:bCs w:val="1"/>
                <w:rtl w:val="0"/>
              </w:rPr>
              <w:t xml:space="preserve">(resumo fiel)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0">
            <w:pPr>
              <w:ind w:right="-182.5984251968498"/>
              <w:jc w:val="center"/>
              <w:rPr/>
            </w:pPr>
            <w:r w:rsidDel="00000000" w:rsidR="00000000" w:rsidRPr="00000000">
              <w:rPr>
                <w:b w:val="1"/>
                <w:bCs w:val="1"/>
                <w:rtl w:val="0"/>
              </w:rPr>
              <w:t xml:space="preserve">Impactos e riscos identificados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1">
            <w:pPr>
              <w:ind w:right="-182.5984251968498"/>
              <w:jc w:val="center"/>
              <w:rPr/>
            </w:pPr>
            <w:r w:rsidDel="00000000" w:rsidR="00000000" w:rsidRPr="00000000">
              <w:rPr>
                <w:b w:val="1"/>
                <w:bCs w:val="1"/>
                <w:rtl w:val="0"/>
              </w:rPr>
              <w:t xml:space="preserve">Normas constitucionais e internacionais afetadas</w:t>
            </w:r>
            <w:r w:rsidDel="00000000" w:rsidR="00000000" w:rsidRPr="00000000">
              <w:rPr>
                <w:rtl w:val="0"/>
              </w:rPr>
            </w:r>
          </w:p>
        </w:tc>
      </w:tr>
      <w:tr>
        <w:trPr>
          <w:cantSplit w:val="0"/>
          <w:trHeight w:val="53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2">
            <w:pPr>
              <w:ind w:right="-182.5984251968498"/>
              <w:rPr/>
            </w:pPr>
            <w:r w:rsidDel="00000000" w:rsidR="00000000" w:rsidRPr="00000000">
              <w:rPr>
                <w:b w:val="1"/>
                <w:bCs w:val="1"/>
                <w:rtl w:val="0"/>
              </w:rPr>
              <w:t xml:space="preserve">Lei 15.190/2025 – art. 3º, V; arts. 39 a 41 (participação pública)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3">
            <w:pPr>
              <w:ind w:right="-77.71653543307025"/>
              <w:rPr/>
            </w:pPr>
            <w:r w:rsidDel="00000000" w:rsidR="00000000" w:rsidRPr="00000000">
              <w:rPr>
                <w:rtl w:val="0"/>
              </w:rPr>
              <w:t xml:space="preserve">Define audiência pública como modalidade de participação </w:t>
            </w:r>
            <w:r w:rsidDel="00000000" w:rsidR="00000000" w:rsidRPr="00000000">
              <w:rPr>
                <w:b w:val="1"/>
                <w:bCs w:val="1"/>
                <w:rtl w:val="0"/>
              </w:rPr>
              <w:t xml:space="preserve">presencial ou remota</w:t>
            </w:r>
            <w:r w:rsidDel="00000000" w:rsidR="00000000" w:rsidRPr="00000000">
              <w:rPr>
                <w:rtl w:val="0"/>
              </w:rPr>
              <w:t xml:space="preserve"> (art. 3º, V) e lista quatro formas de participação: consulta pública, tomada de subsídios técnicos, reunião participativa e audiência pública (art. 39). Garante apenas </w:t>
            </w:r>
            <w:r w:rsidDel="00000000" w:rsidR="00000000" w:rsidRPr="00000000">
              <w:rPr>
                <w:b w:val="1"/>
                <w:bCs w:val="1"/>
                <w:rtl w:val="0"/>
              </w:rPr>
              <w:t xml:space="preserve">uma audiência obrigatória</w:t>
            </w:r>
            <w:r w:rsidDel="00000000" w:rsidR="00000000" w:rsidRPr="00000000">
              <w:rPr>
                <w:rtl w:val="0"/>
              </w:rPr>
              <w:t xml:space="preserve"> nos casos com EIA/Rima, com possibilidade de mais de uma a critério da autoridade (art. 40). A consulta pública é sempre digital e opcional, com prazos flexíveis (art. 41).</w:t>
            </w:r>
          </w:p>
        </w:tc>
        <w:tc>
          <w:tcPr>
            <w:tcMar>
              <w:top w:w="100.0" w:type="dxa"/>
              <w:left w:w="100.0" w:type="dxa"/>
              <w:bottom w:w="100.0" w:type="dxa"/>
              <w:right w:w="100.0" w:type="dxa"/>
            </w:tcMar>
            <w:vAlign w:val="top"/>
          </w:tcPr>
          <w:p w:rsidR="00000000" w:rsidDel="00000000" w:rsidP="00000000" w:rsidRDefault="00000000" w:rsidRPr="00000000" w14:paraId="00000044">
            <w:pPr>
              <w:ind w:right="-61.181102362204456"/>
              <w:rPr/>
            </w:pPr>
            <w:r w:rsidDel="00000000" w:rsidR="00000000" w:rsidRPr="00000000">
              <w:rPr>
                <w:rtl w:val="0"/>
              </w:rPr>
              <w:t xml:space="preserve">A lei </w:t>
            </w:r>
            <w:r w:rsidDel="00000000" w:rsidR="00000000" w:rsidRPr="00000000">
              <w:rPr>
                <w:b w:val="1"/>
                <w:bCs w:val="1"/>
                <w:rtl w:val="0"/>
              </w:rPr>
              <w:t xml:space="preserve">não assegura participação presencial ampla como regra</w:t>
            </w:r>
            <w:r w:rsidDel="00000000" w:rsidR="00000000" w:rsidRPr="00000000">
              <w:rPr>
                <w:rtl w:val="0"/>
              </w:rPr>
              <w:t xml:space="preserve">, nem mecanismos específicos para populações vulnerabilizadas, multilíngues ou com baixa conectividade, o que na prática pode traduzir o direito de participação em um modelo predominantemente </w:t>
            </w:r>
            <w:r w:rsidDel="00000000" w:rsidR="00000000" w:rsidRPr="00000000">
              <w:rPr>
                <w:b w:val="1"/>
                <w:bCs w:val="1"/>
                <w:rtl w:val="0"/>
              </w:rPr>
              <w:t xml:space="preserve">on-line</w:t>
            </w:r>
            <w:r w:rsidDel="00000000" w:rsidR="00000000" w:rsidRPr="00000000">
              <w:rPr>
                <w:rtl w:val="0"/>
              </w:rPr>
              <w:t xml:space="preserve"> e tecnocrático. A exigência de apenas uma audiência para empreendimentos com EIA é insuficiente em contextos de grande área de influência, conflitos territoriais e diversidade sociocultural.</w:t>
            </w:r>
          </w:p>
        </w:tc>
        <w:tc>
          <w:tcPr>
            <w:tcMar>
              <w:top w:w="100.0" w:type="dxa"/>
              <w:left w:w="100.0" w:type="dxa"/>
              <w:bottom w:w="100.0" w:type="dxa"/>
              <w:right w:w="100.0" w:type="dxa"/>
            </w:tcMar>
            <w:vAlign w:val="top"/>
          </w:tcPr>
          <w:p w:rsidR="00000000" w:rsidDel="00000000" w:rsidP="00000000" w:rsidRDefault="00000000" w:rsidRPr="00000000" w14:paraId="00000045">
            <w:pPr>
              <w:ind w:right="-40.984251968503145"/>
              <w:rPr/>
            </w:pPr>
            <w:r w:rsidDel="00000000" w:rsidR="00000000" w:rsidRPr="00000000">
              <w:rPr>
                <w:rtl w:val="0"/>
              </w:rPr>
              <w:t xml:space="preserve">CF/88, arts. 5º, XXXIII e XXXV, e 225; Acordo de Escazú (arts. 6 e 7); CADH (arts. 13 e 23); Protocolo de San Salvador (art. 11) – direito à informação e participação ambiental significativa.</w:t>
            </w:r>
          </w:p>
        </w:tc>
      </w:tr>
      <w:tr>
        <w:trPr>
          <w:cantSplit w:val="0"/>
          <w:trHeight w:val="53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6">
            <w:pPr>
              <w:ind w:right="-182.5984251968498"/>
              <w:rPr/>
            </w:pPr>
            <w:r w:rsidDel="00000000" w:rsidR="00000000" w:rsidRPr="00000000">
              <w:rPr>
                <w:b w:val="1"/>
                <w:bCs w:val="1"/>
                <w:rtl w:val="0"/>
              </w:rPr>
              <w:t xml:space="preserve">Lei 15.190/2025 – arts. 8 e 9 (dispensa de licenciamento e ruralização das exceções)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7">
            <w:pPr>
              <w:ind w:right="-182.5984251968498"/>
              <w:rPr/>
            </w:pPr>
            <w:r w:rsidDel="00000000" w:rsidR="00000000" w:rsidRPr="00000000">
              <w:rPr>
                <w:rtl w:val="0"/>
              </w:rPr>
              <w:t xml:space="preserve">Art. 8 lista hipóteses de não sujeição ao licenciamento (atividades militares, obras emergenciais, obras urgentes para evitar dano, distribuição de energia até 138 kV, ecopontos etc.). Art. 9 dispensa o licenciamento de cultivo agrícola, pecuária extensiva e semi-intensiva e pecuária intensiva de pequeno porte, desde que a propriedade esteja “regular ou em regularização” no CAR/PRA, com geração de </w:t>
            </w:r>
            <w:r w:rsidDel="00000000" w:rsidR="00000000" w:rsidRPr="00000000">
              <w:rPr>
                <w:b w:val="1"/>
                <w:bCs w:val="1"/>
                <w:rtl w:val="0"/>
              </w:rPr>
              <w:t xml:space="preserve">certidão declaratória de não sujeição </w:t>
            </w:r>
            <w:r w:rsidDel="00000000" w:rsidR="00000000" w:rsidRPr="00000000">
              <w:rPr>
                <w:rtl w:val="0"/>
              </w:rPr>
              <w:t xml:space="preserve">pelo</w:t>
            </w:r>
            <w:r w:rsidDel="00000000" w:rsidR="00000000" w:rsidRPr="00000000">
              <w:rPr>
                <w:rtl w:val="0"/>
              </w:rPr>
              <w:t xml:space="preserve"> órgão ambiental (art. 9, §§1º–4º).</w:t>
            </w:r>
          </w:p>
        </w:tc>
        <w:tc>
          <w:tcPr>
            <w:tcMar>
              <w:top w:w="100.0" w:type="dxa"/>
              <w:left w:w="100.0" w:type="dxa"/>
              <w:bottom w:w="100.0" w:type="dxa"/>
              <w:right w:w="100.0" w:type="dxa"/>
            </w:tcMar>
            <w:vAlign w:val="top"/>
          </w:tcPr>
          <w:p w:rsidR="00000000" w:rsidDel="00000000" w:rsidP="00000000" w:rsidRDefault="00000000" w:rsidRPr="00000000" w14:paraId="00000048">
            <w:pPr>
              <w:ind w:right="-182.5984251968498"/>
              <w:rPr/>
            </w:pPr>
            <w:r w:rsidDel="00000000" w:rsidR="00000000" w:rsidRPr="00000000">
              <w:rPr>
                <w:rtl w:val="0"/>
              </w:rPr>
              <w:t xml:space="preserve">A combinação de </w:t>
            </w:r>
            <w:r w:rsidDel="00000000" w:rsidR="00000000" w:rsidRPr="00000000">
              <w:rPr>
                <w:b w:val="1"/>
                <w:bCs w:val="1"/>
                <w:rtl w:val="0"/>
              </w:rPr>
              <w:t xml:space="preserve">dispensas amplas para atividades agrossilvipastoris</w:t>
            </w:r>
            <w:r w:rsidDel="00000000" w:rsidR="00000000" w:rsidRPr="00000000">
              <w:rPr>
                <w:rtl w:val="0"/>
              </w:rPr>
              <w:t xml:space="preserve"> e da lógica de “regular em regularização” via CAR/PRA pode legitimar expansão agropecuária em áreas sensíveis, inclusive biomas não florestais, com controle ambiental apenas ex post (fiscalização eventual). Risco elevado de </w:t>
            </w:r>
            <w:r w:rsidDel="00000000" w:rsidR="00000000" w:rsidRPr="00000000">
              <w:rPr>
                <w:b w:val="1"/>
                <w:bCs w:val="1"/>
                <w:rtl w:val="0"/>
              </w:rPr>
              <w:t xml:space="preserve">conversão de vegetação nativa</w:t>
            </w:r>
            <w:r w:rsidDel="00000000" w:rsidR="00000000" w:rsidRPr="00000000">
              <w:rPr>
                <w:rtl w:val="0"/>
              </w:rPr>
              <w:t xml:space="preserve"> e degradação difusa sem análise prévia de impactos cumulativos e climáticos, fragilizando o princípio da prevenção.</w:t>
            </w:r>
          </w:p>
        </w:tc>
        <w:tc>
          <w:tcPr>
            <w:tcMar>
              <w:top w:w="100.0" w:type="dxa"/>
              <w:left w:w="100.0" w:type="dxa"/>
              <w:bottom w:w="100.0" w:type="dxa"/>
              <w:right w:w="100.0" w:type="dxa"/>
            </w:tcMar>
            <w:vAlign w:val="top"/>
          </w:tcPr>
          <w:p w:rsidR="00000000" w:rsidDel="00000000" w:rsidP="00000000" w:rsidRDefault="00000000" w:rsidRPr="00000000" w14:paraId="00000049">
            <w:pPr>
              <w:ind w:right="-182.5984251968498"/>
              <w:rPr/>
            </w:pPr>
            <w:r w:rsidDel="00000000" w:rsidR="00000000" w:rsidRPr="00000000">
              <w:rPr>
                <w:rtl w:val="0"/>
              </w:rPr>
              <w:t xml:space="preserve">CF/88, art. 225, § 1º, IV; Protocolo de San Salvador (art. 11 – meio ambiente saudável); Declaração do Rio (Princípios 15 e 17 – precaução e EIA); Objetivos de Desenvolvimento Sustentável (ODS 13, 15).</w:t>
            </w:r>
          </w:p>
        </w:tc>
      </w:tr>
      <w:tr>
        <w:trPr>
          <w:cantSplit w:val="0"/>
          <w:trHeight w:val="69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A">
            <w:pPr>
              <w:ind w:right="-182.5984251968498"/>
              <w:rPr/>
            </w:pPr>
            <w:r w:rsidDel="00000000" w:rsidR="00000000" w:rsidRPr="00000000">
              <w:rPr>
                <w:b w:val="1"/>
                <w:bCs w:val="1"/>
                <w:rtl w:val="0"/>
              </w:rPr>
              <w:t xml:space="preserve">Lei 15.190/2025 – art. 9º, §5º e PL 3.834/2025 – art. 22-A (LAC e licenciamento por adesão e compromisso)</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B">
            <w:pPr>
              <w:ind w:right="-182.5984251968498"/>
              <w:rPr/>
            </w:pPr>
            <w:r w:rsidDel="00000000" w:rsidR="00000000" w:rsidRPr="00000000">
              <w:rPr>
                <w:rtl w:val="0"/>
              </w:rPr>
              <w:t xml:space="preserve">A lei original permite licenciamento simplificado por LAC para pecuária intensiva de médio porte (art. 9º, §5º) e define LAC como licença baseada em </w:t>
            </w:r>
            <w:r w:rsidDel="00000000" w:rsidR="00000000" w:rsidRPr="00000000">
              <w:rPr>
                <w:b w:val="1"/>
                <w:bCs w:val="1"/>
                <w:rtl w:val="0"/>
              </w:rPr>
              <w:t xml:space="preserve">declaração de adesão e compromisso do empreendedor</w:t>
            </w:r>
            <w:r w:rsidDel="00000000" w:rsidR="00000000" w:rsidRPr="00000000">
              <w:rPr>
                <w:rtl w:val="0"/>
              </w:rPr>
              <w:t xml:space="preserve"> (art. 3º, XXVII, e art. 5º, I–VII). O PL 3.834/2025 cria o art. 22-A, que detalha as condições para uso da LAC: pequeno ou médio porte + baixo potencial poluidor, conhecimento prévio de região e impactos, inexistência de supressão de vegetação nativa, lista de vedações (áreas úmidas, APP, TIs, quilombos, UC, áreas contaminadas etc.) e fiscalização </w:t>
            </w:r>
            <w:r w:rsidDel="00000000" w:rsidR="00000000" w:rsidRPr="00000000">
              <w:rPr>
                <w:b w:val="1"/>
                <w:bCs w:val="1"/>
                <w:rtl w:val="0"/>
              </w:rPr>
              <w:t xml:space="preserve">por amostragem</w:t>
            </w:r>
            <w:r w:rsidDel="00000000" w:rsidR="00000000" w:rsidRPr="00000000">
              <w:rPr>
                <w:rtl w:val="0"/>
              </w:rPr>
              <w:t xml:space="preserve"> (RCE e vistorias anuais).</w:t>
            </w:r>
          </w:p>
        </w:tc>
        <w:tc>
          <w:tcPr>
            <w:tcMar>
              <w:top w:w="100.0" w:type="dxa"/>
              <w:left w:w="100.0" w:type="dxa"/>
              <w:bottom w:w="100.0" w:type="dxa"/>
              <w:right w:w="100.0" w:type="dxa"/>
            </w:tcMar>
            <w:vAlign w:val="top"/>
          </w:tcPr>
          <w:p w:rsidR="00000000" w:rsidDel="00000000" w:rsidP="00000000" w:rsidRDefault="00000000" w:rsidRPr="00000000" w14:paraId="0000004C">
            <w:pPr>
              <w:ind w:right="-182.5984251968498"/>
              <w:rPr/>
            </w:pPr>
            <w:r w:rsidDel="00000000" w:rsidR="00000000" w:rsidRPr="00000000">
              <w:rPr>
                <w:rtl w:val="0"/>
              </w:rPr>
              <w:t xml:space="preserve">Embora o PL introduza salvaguardas relevantes (vedação expressa de LAC em TIs, quilombos, APP, áreas úmidas etc.), o modelo de licenciamento </w:t>
            </w:r>
            <w:r w:rsidDel="00000000" w:rsidR="00000000" w:rsidRPr="00000000">
              <w:rPr>
                <w:b w:val="1"/>
                <w:bCs w:val="1"/>
                <w:rtl w:val="0"/>
              </w:rPr>
              <w:t xml:space="preserve">autodeclaratório e por amostragem</w:t>
            </w:r>
            <w:r w:rsidDel="00000000" w:rsidR="00000000" w:rsidRPr="00000000">
              <w:rPr>
                <w:rtl w:val="0"/>
              </w:rPr>
              <w:t xml:space="preserve"> fragiliza o controle prévio, sobretudo em contextos de grande número de empreendimentos de médio porte, áreas com forte pressão de desmatamento e baixa capacidade institucional de fiscalização. Risco de que a LAC vire padrão de fato para atividades com impactos relevantes, com baixa rastreabilidade de responsabilidades.</w:t>
            </w:r>
          </w:p>
        </w:tc>
        <w:tc>
          <w:tcPr>
            <w:tcMar>
              <w:top w:w="100.0" w:type="dxa"/>
              <w:left w:w="100.0" w:type="dxa"/>
              <w:bottom w:w="100.0" w:type="dxa"/>
              <w:right w:w="100.0" w:type="dxa"/>
            </w:tcMar>
            <w:vAlign w:val="top"/>
          </w:tcPr>
          <w:p w:rsidR="00000000" w:rsidDel="00000000" w:rsidP="00000000" w:rsidRDefault="00000000" w:rsidRPr="00000000" w14:paraId="0000004D">
            <w:pPr>
              <w:ind w:right="-182.5984251968498"/>
              <w:rPr/>
            </w:pPr>
            <w:r w:rsidDel="00000000" w:rsidR="00000000" w:rsidRPr="00000000">
              <w:rPr>
                <w:rtl w:val="0"/>
              </w:rPr>
              <w:t xml:space="preserve">CF/88, art. 225; Princípio da precaução; Comentário Geral nº 36 (Comitê DH ONU – proteção da vida frente a riscos ambientais); Princípios Orientadores da ONU sobre Empresas e DH (dever de diligência reforçado, não substituído por autodeclaração).</w:t>
            </w:r>
          </w:p>
        </w:tc>
      </w:tr>
      <w:tr>
        <w:trPr>
          <w:cantSplit w:val="0"/>
          <w:trHeight w:val="48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E">
            <w:pPr>
              <w:ind w:right="-182.5984251968498"/>
              <w:rPr/>
            </w:pPr>
            <w:r w:rsidDel="00000000" w:rsidR="00000000" w:rsidRPr="00000000">
              <w:rPr>
                <w:b w:val="1"/>
                <w:bCs w:val="1"/>
                <w:rtl w:val="0"/>
              </w:rPr>
              <w:t xml:space="preserve">Lei 15.190/2025 – art. 13 (CAR e licenciamento de infraestrutura)</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4F">
            <w:pPr>
              <w:ind w:right="-182.5984251968498"/>
              <w:rPr/>
            </w:pPr>
            <w:r w:rsidDel="00000000" w:rsidR="00000000" w:rsidRPr="00000000">
              <w:rPr>
                <w:rtl w:val="0"/>
              </w:rPr>
              <w:t xml:space="preserve">Art. 13 determina que </w:t>
            </w:r>
            <w:r w:rsidDel="00000000" w:rsidR="00000000" w:rsidRPr="00000000">
              <w:rPr>
                <w:b w:val="1"/>
                <w:bCs w:val="1"/>
                <w:rtl w:val="0"/>
              </w:rPr>
              <w:t xml:space="preserve">a inscrição no CAR não pode ser exigida</w:t>
            </w:r>
            <w:r w:rsidDel="00000000" w:rsidR="00000000" w:rsidRPr="00000000">
              <w:rPr>
                <w:rtl w:val="0"/>
              </w:rPr>
              <w:t xml:space="preserve"> como requisito para emissão de licença ambiental ou autorização de supressão de vegetação para obras de infraestrutura pública em propriedades rurais, quando tais obras não tiverem relação com atividades agropecuárias.</w:t>
            </w:r>
          </w:p>
        </w:tc>
        <w:tc>
          <w:tcPr>
            <w:tcMar>
              <w:top w:w="100.0" w:type="dxa"/>
              <w:left w:w="100.0" w:type="dxa"/>
              <w:bottom w:w="100.0" w:type="dxa"/>
              <w:right w:w="100.0" w:type="dxa"/>
            </w:tcMar>
            <w:vAlign w:val="top"/>
          </w:tcPr>
          <w:p w:rsidR="00000000" w:rsidDel="00000000" w:rsidP="00000000" w:rsidRDefault="00000000" w:rsidRPr="00000000" w14:paraId="00000050">
            <w:pPr>
              <w:ind w:right="-182.5984251968498"/>
              <w:rPr/>
            </w:pPr>
            <w:r w:rsidDel="00000000" w:rsidR="00000000" w:rsidRPr="00000000">
              <w:rPr>
                <w:rtl w:val="0"/>
              </w:rPr>
              <w:t xml:space="preserve">A norma </w:t>
            </w:r>
            <w:r w:rsidDel="00000000" w:rsidR="00000000" w:rsidRPr="00000000">
              <w:rPr>
                <w:b w:val="1"/>
                <w:bCs w:val="1"/>
                <w:rtl w:val="0"/>
              </w:rPr>
              <w:t xml:space="preserve">desconecta empreendimentos de infraestrutura da situação fundiária e ambiental da propriedade</w:t>
            </w:r>
            <w:r w:rsidDel="00000000" w:rsidR="00000000" w:rsidRPr="00000000">
              <w:rPr>
                <w:rtl w:val="0"/>
              </w:rPr>
              <w:t xml:space="preserve">, permitindo a emissão de licenças e autorizações de supressão em imóveis rurais não regularizados. Isso compromete a coerência entre política de regularização ambiental (CAR/PRA) e grandes obras de infraestrutura, incentivando a ocupação de áreas irregulares e dificultando a responsabilização integrada por desmatamento e conflitos fundiários.</w:t>
            </w:r>
          </w:p>
        </w:tc>
        <w:tc>
          <w:tcPr>
            <w:tcMar>
              <w:top w:w="100.0" w:type="dxa"/>
              <w:left w:w="100.0" w:type="dxa"/>
              <w:bottom w:w="100.0" w:type="dxa"/>
              <w:right w:w="100.0" w:type="dxa"/>
            </w:tcMar>
            <w:vAlign w:val="top"/>
          </w:tcPr>
          <w:p w:rsidR="00000000" w:rsidDel="00000000" w:rsidP="00000000" w:rsidRDefault="00000000" w:rsidRPr="00000000" w14:paraId="00000051">
            <w:pPr>
              <w:ind w:right="-182.5984251968498"/>
              <w:rPr/>
            </w:pPr>
            <w:r w:rsidDel="00000000" w:rsidR="00000000" w:rsidRPr="00000000">
              <w:rPr>
                <w:rtl w:val="0"/>
              </w:rPr>
              <w:t xml:space="preserve">CF/88, arts. 225 e 186; Pacto DESC (art. 2º – uso máximo de recursos para realizar direitos); Princípios de Maastricht sobre obrigações ambientais extraterritoriais e integradas (coerência normativa).</w:t>
            </w:r>
          </w:p>
        </w:tc>
      </w:tr>
      <w:tr>
        <w:trPr>
          <w:cantSplit w:val="0"/>
          <w:trHeight w:val="563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2">
            <w:pPr>
              <w:ind w:right="-182.5984251968498"/>
              <w:rPr/>
            </w:pPr>
            <w:r w:rsidDel="00000000" w:rsidR="00000000" w:rsidRPr="00000000">
              <w:rPr>
                <w:b w:val="1"/>
                <w:bCs w:val="1"/>
                <w:rtl w:val="0"/>
              </w:rPr>
              <w:t xml:space="preserve">Lei 15.190/2025 – art. 14 e PL 3.834/2025 – novo §1º-A, §2º-A e §5º-A (condicionantes ambientais)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3">
            <w:pPr>
              <w:ind w:right="-182.5984251968498"/>
              <w:rPr/>
            </w:pPr>
            <w:r w:rsidDel="00000000" w:rsidR="00000000" w:rsidRPr="00000000">
              <w:rPr>
                <w:rtl w:val="0"/>
              </w:rPr>
              <w:t xml:space="preserve">Art. 14 estabelece hierarquia de objetivos das condicionantes (prevenir, mitigar, compensar). O PL 3.834/2025 inclui o §1º-A (condicionantes devem ser proporcionais e com nexo causal estrito com impactos identificados), o §2º-A (veda condicionantes para mitigar/compensar impactos de terceiros ou omissões do poder público sem nexo causal direto) e o §5º-A (veda obrigar empreendedor a manter serviços permanentes de responsabilidade estatal, salvo casos temporários/excepcionais).</w:t>
            </w:r>
          </w:p>
        </w:tc>
        <w:tc>
          <w:tcPr>
            <w:tcMar>
              <w:top w:w="100.0" w:type="dxa"/>
              <w:left w:w="100.0" w:type="dxa"/>
              <w:bottom w:w="100.0" w:type="dxa"/>
              <w:right w:w="100.0" w:type="dxa"/>
            </w:tcMar>
            <w:vAlign w:val="top"/>
          </w:tcPr>
          <w:p w:rsidR="00000000" w:rsidDel="00000000" w:rsidP="00000000" w:rsidRDefault="00000000" w:rsidRPr="00000000" w14:paraId="00000054">
            <w:pPr>
              <w:ind w:right="-182.5984251968498"/>
              <w:rPr/>
            </w:pPr>
            <w:r w:rsidDel="00000000" w:rsidR="00000000" w:rsidRPr="00000000">
              <w:rPr>
                <w:rtl w:val="0"/>
              </w:rPr>
              <w:t xml:space="preserve">Embora a busca de proporcionalidade seja desejável, a redação proposta </w:t>
            </w:r>
            <w:r w:rsidDel="00000000" w:rsidR="00000000" w:rsidRPr="00000000">
              <w:rPr>
                <w:b w:val="1"/>
                <w:bCs w:val="1"/>
                <w:rtl w:val="0"/>
              </w:rPr>
              <w:t xml:space="preserve">restringe excessivamente o escopo das condicionantes</w:t>
            </w:r>
            <w:r w:rsidDel="00000000" w:rsidR="00000000" w:rsidRPr="00000000">
              <w:rPr>
                <w:rtl w:val="0"/>
              </w:rPr>
              <w:t xml:space="preserve">, impedindo que licenças sejam usadas para enfrentar impactos indiretos, cumulativos e sinérgicos – justamente centrais em contextos de mudança do clima, desmatamento e vulnerabilidade socioeconômica. Na prática, limita o uso do licenciamento como instrumento de </w:t>
            </w:r>
            <w:r w:rsidDel="00000000" w:rsidR="00000000" w:rsidRPr="00000000">
              <w:rPr>
                <w:b w:val="1"/>
                <w:bCs w:val="1"/>
                <w:rtl w:val="0"/>
              </w:rPr>
              <w:t xml:space="preserve">correção de desigualdades socioambientais</w:t>
            </w:r>
            <w:r w:rsidDel="00000000" w:rsidR="00000000" w:rsidRPr="00000000">
              <w:rPr>
                <w:rtl w:val="0"/>
              </w:rPr>
              <w:t xml:space="preserve"> e de fortalecimento de serviços públicos em territórios afetados.</w:t>
            </w:r>
          </w:p>
        </w:tc>
        <w:tc>
          <w:tcPr>
            <w:tcMar>
              <w:top w:w="100.0" w:type="dxa"/>
              <w:left w:w="100.0" w:type="dxa"/>
              <w:bottom w:w="100.0" w:type="dxa"/>
              <w:right w:w="100.0" w:type="dxa"/>
            </w:tcMar>
            <w:vAlign w:val="top"/>
          </w:tcPr>
          <w:p w:rsidR="00000000" w:rsidDel="00000000" w:rsidP="00000000" w:rsidRDefault="00000000" w:rsidRPr="00000000" w14:paraId="00000055">
            <w:pPr>
              <w:ind w:right="-182.5984251968498"/>
              <w:rPr/>
            </w:pPr>
            <w:r w:rsidDel="00000000" w:rsidR="00000000" w:rsidRPr="00000000">
              <w:rPr>
                <w:rtl w:val="0"/>
              </w:rPr>
              <w:t xml:space="preserve">CF/88, art. 225 e art. 3º, III (redução das desigualdades); CADH e Protocolo de San Salvador (dever de adotar medidas positivas para garantir DESCA); REDESCA – Informe RS 2025 (licenciamento como mecanismo de prevenção de desastres e proteção de populações vulneráveis).</w:t>
            </w:r>
          </w:p>
        </w:tc>
      </w:tr>
      <w:tr>
        <w:trPr>
          <w:cantSplit w:val="0"/>
          <w:trHeight w:val="53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6">
            <w:pPr>
              <w:ind w:right="-182.5984251968498"/>
              <w:rPr/>
            </w:pPr>
            <w:r w:rsidDel="00000000" w:rsidR="00000000" w:rsidRPr="00000000">
              <w:rPr>
                <w:b w:val="1"/>
                <w:bCs w:val="1"/>
                <w:rtl w:val="0"/>
              </w:rPr>
              <w:t xml:space="preserve">Lei 15.190/2025 – art. 17 (desvinculação do licenciamento de certidões municipais e outorgas de outros órgãos)</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7">
            <w:pPr>
              <w:ind w:right="-182.5984251968498"/>
              <w:rPr/>
            </w:pPr>
            <w:r w:rsidDel="00000000" w:rsidR="00000000" w:rsidRPr="00000000">
              <w:rPr>
                <w:rtl w:val="0"/>
              </w:rPr>
              <w:t xml:space="preserve">O art. 17 dispõe que o licenciamento </w:t>
            </w:r>
            <w:r w:rsidDel="00000000" w:rsidR="00000000" w:rsidRPr="00000000">
              <w:rPr>
                <w:b w:val="1"/>
                <w:bCs w:val="1"/>
                <w:rtl w:val="0"/>
              </w:rPr>
              <w:t xml:space="preserve">independe</w:t>
            </w:r>
            <w:r w:rsidDel="00000000" w:rsidR="00000000" w:rsidRPr="00000000">
              <w:rPr>
                <w:rtl w:val="0"/>
              </w:rPr>
              <w:t xml:space="preserve"> da certidão municipal de uso, parcelamento e ocupação do solo, bem como de </w:t>
            </w:r>
            <w:r w:rsidDel="00000000" w:rsidR="00000000" w:rsidRPr="00000000">
              <w:rPr>
                <w:b w:val="1"/>
                <w:bCs w:val="1"/>
                <w:rtl w:val="0"/>
              </w:rPr>
              <w:t xml:space="preserve">autorizações e outorgas de órgãos não integrantes do Sisnama</w:t>
            </w:r>
            <w:r w:rsidDel="00000000" w:rsidR="00000000" w:rsidRPr="00000000">
              <w:rPr>
                <w:rtl w:val="0"/>
              </w:rPr>
              <w:t xml:space="preserve">, embora o empreendedor deva cumprir a legislação relativa a tais atos.</w:t>
            </w:r>
          </w:p>
        </w:tc>
        <w:tc>
          <w:tcPr>
            <w:tcMar>
              <w:top w:w="100.0" w:type="dxa"/>
              <w:left w:w="100.0" w:type="dxa"/>
              <w:bottom w:w="100.0" w:type="dxa"/>
              <w:right w:w="100.0" w:type="dxa"/>
            </w:tcMar>
            <w:vAlign w:val="top"/>
          </w:tcPr>
          <w:p w:rsidR="00000000" w:rsidDel="00000000" w:rsidP="00000000" w:rsidRDefault="00000000" w:rsidRPr="00000000" w14:paraId="00000058">
            <w:pPr>
              <w:ind w:right="-182.5984251968498"/>
              <w:rPr/>
            </w:pPr>
            <w:r w:rsidDel="00000000" w:rsidR="00000000" w:rsidRPr="00000000">
              <w:rPr>
                <w:rtl w:val="0"/>
              </w:rPr>
              <w:t xml:space="preserve">O dispositivo não apenas afasta a exigência de CMUS, como também </w:t>
            </w:r>
            <w:r w:rsidDel="00000000" w:rsidR="00000000" w:rsidRPr="00000000">
              <w:rPr>
                <w:b w:val="1"/>
                <w:bCs w:val="1"/>
                <w:rtl w:val="0"/>
              </w:rPr>
              <w:t xml:space="preserve">descola o licenciamento de instrumentos fundamentais de gestão territorial e hídrica (outorgas</w:t>
            </w:r>
            <w:r w:rsidDel="00000000" w:rsidR="00000000" w:rsidRPr="00000000">
              <w:rPr>
                <w:rtl w:val="0"/>
              </w:rPr>
              <w:t xml:space="preserve">, autorizações de outros órgãos), enfraquecendo o papel dos Municípios e de órgãos setoriais na governança integrada do território. Na prática, abre espaço para licenças emitidas sem compatibilização com planos diretores, ZEEs, planos de recursos hídricos e de proteção civil, aumentando risco de desastres e conflitos socioambientais.</w:t>
            </w:r>
          </w:p>
        </w:tc>
        <w:tc>
          <w:tcPr>
            <w:tcMar>
              <w:top w:w="100.0" w:type="dxa"/>
              <w:left w:w="100.0" w:type="dxa"/>
              <w:bottom w:w="100.0" w:type="dxa"/>
              <w:right w:w="100.0" w:type="dxa"/>
            </w:tcMar>
            <w:vAlign w:val="top"/>
          </w:tcPr>
          <w:p w:rsidR="00000000" w:rsidDel="00000000" w:rsidP="00000000" w:rsidRDefault="00000000" w:rsidRPr="00000000" w14:paraId="00000059">
            <w:pPr>
              <w:ind w:right="-182.5984251968498"/>
              <w:rPr/>
            </w:pPr>
            <w:r w:rsidDel="00000000" w:rsidR="00000000" w:rsidRPr="00000000">
              <w:rPr>
                <w:rtl w:val="0"/>
              </w:rPr>
              <w:t xml:space="preserve">CF/88, arts. 23, 30 e 182 (competências municipais e cooperação federativa); Lei Complementar 140/2011; CADH (art. 26 – dever de organização institucional para proteção dos DESCA).</w:t>
            </w:r>
          </w:p>
        </w:tc>
      </w:tr>
      <w:tr>
        <w:trPr>
          <w:cantSplit w:val="0"/>
          <w:trHeight w:val="563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A">
            <w:pPr>
              <w:ind w:right="-182.5984251968498"/>
              <w:rPr/>
            </w:pPr>
            <w:r w:rsidDel="00000000" w:rsidR="00000000" w:rsidRPr="00000000">
              <w:rPr>
                <w:b w:val="1"/>
                <w:bCs w:val="1"/>
                <w:rtl w:val="0"/>
              </w:rPr>
              <w:t xml:space="preserve">Lei 15.190/2025 – arts. 24–25; MPV 1.308/2025 – arts. 1º–5º; PL 3.834/2025 – arts. 25-A a 25-C (Licença Ambiental Especial – LAE)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B">
            <w:pPr>
              <w:ind w:right="-182.5984251968498"/>
              <w:rPr/>
            </w:pPr>
            <w:r w:rsidDel="00000000" w:rsidR="00000000" w:rsidRPr="00000000">
              <w:rPr>
                <w:rtl w:val="0"/>
              </w:rPr>
              <w:t xml:space="preserve">A lei cria o </w:t>
            </w:r>
            <w:r w:rsidDel="00000000" w:rsidR="00000000" w:rsidRPr="00000000">
              <w:rPr>
                <w:b w:val="1"/>
                <w:bCs w:val="1"/>
                <w:rtl w:val="0"/>
              </w:rPr>
              <w:t xml:space="preserve">procedimento especial para atividades ou empreendimentos estratégicos</w:t>
            </w:r>
            <w:r w:rsidDel="00000000" w:rsidR="00000000" w:rsidRPr="00000000">
              <w:rPr>
                <w:rtl w:val="0"/>
              </w:rPr>
              <w:t xml:space="preserve"> (arts. 24–25) e define a LAE como modalidade de licença com prazos de 5 a 10 anos (art. 3º, XXVI; art. 6º, III; art. 47, V). A MP 1.308/2025 detalha o rito da LAE: EIA/Rima obrigatório, prazos máximos de 12 meses, priorização de análises e anuências em todas as esferas (arts. 2º–5º). O PL 3.834/2025 internaliza esse rito na lei, criando os arts. 25-A, 25-B e 25-C com conteúdo praticamente idêntico à MP.</w:t>
            </w:r>
          </w:p>
        </w:tc>
        <w:tc>
          <w:tcPr>
            <w:tcMar>
              <w:top w:w="100.0" w:type="dxa"/>
              <w:left w:w="100.0" w:type="dxa"/>
              <w:bottom w:w="100.0" w:type="dxa"/>
              <w:right w:w="100.0" w:type="dxa"/>
            </w:tcMar>
            <w:vAlign w:val="top"/>
          </w:tcPr>
          <w:p w:rsidR="00000000" w:rsidDel="00000000" w:rsidP="00000000" w:rsidRDefault="00000000" w:rsidRPr="00000000" w14:paraId="0000005C">
            <w:pPr>
              <w:ind w:right="-182.5984251968498"/>
              <w:rPr/>
            </w:pPr>
            <w:r w:rsidDel="00000000" w:rsidR="00000000" w:rsidRPr="00000000">
              <w:rPr>
                <w:rtl w:val="0"/>
              </w:rPr>
              <w:t xml:space="preserve">A LAE institucionaliza um </w:t>
            </w:r>
            <w:r w:rsidDel="00000000" w:rsidR="00000000" w:rsidRPr="00000000">
              <w:rPr>
                <w:b w:val="1"/>
                <w:bCs w:val="1"/>
                <w:rtl w:val="0"/>
              </w:rPr>
              <w:t xml:space="preserve">“fast track” para empreendimentos estratégicos</w:t>
            </w:r>
            <w:r w:rsidDel="00000000" w:rsidR="00000000" w:rsidRPr="00000000">
              <w:rPr>
                <w:rtl w:val="0"/>
              </w:rPr>
              <w:t xml:space="preserve"> – categoria política a ser definida em decreto pelo Conselho de Governo – com forte priorização administrativa e prazo máximo fixo, independentemente da complexidade dos impactos. Em um contexto de assimetria de poder entre grandes projetos de infraestrutura/mineração e comunidades afetadas, isso tende a </w:t>
            </w:r>
            <w:r w:rsidDel="00000000" w:rsidR="00000000" w:rsidRPr="00000000">
              <w:rPr>
                <w:b w:val="1"/>
                <w:bCs w:val="1"/>
                <w:rtl w:val="0"/>
              </w:rPr>
              <w:t xml:space="preserve">reduzir o tempo útil de participação social, compressão de análises técnicas e captura política do licenciamento</w:t>
            </w:r>
            <w:r w:rsidDel="00000000" w:rsidR="00000000" w:rsidRPr="00000000">
              <w:rPr>
                <w:rtl w:val="0"/>
              </w:rPr>
              <w:t xml:space="preserve">, em detrimento do princípio da precaução.</w:t>
            </w:r>
          </w:p>
        </w:tc>
        <w:tc>
          <w:tcPr>
            <w:tcMar>
              <w:top w:w="100.0" w:type="dxa"/>
              <w:left w:w="100.0" w:type="dxa"/>
              <w:bottom w:w="100.0" w:type="dxa"/>
              <w:right w:w="100.0" w:type="dxa"/>
            </w:tcMar>
            <w:vAlign w:val="top"/>
          </w:tcPr>
          <w:p w:rsidR="00000000" w:rsidDel="00000000" w:rsidP="00000000" w:rsidRDefault="00000000" w:rsidRPr="00000000" w14:paraId="0000005D">
            <w:pPr>
              <w:ind w:right="-182.5984251968498"/>
              <w:rPr/>
            </w:pPr>
            <w:r w:rsidDel="00000000" w:rsidR="00000000" w:rsidRPr="00000000">
              <w:rPr>
                <w:rtl w:val="0"/>
              </w:rPr>
              <w:t xml:space="preserve">CF/88, art. 225, §1º, IV; Declaração do Rio (Princípio 15 – precaução); REDESCA – mandato de monitorar grandes projetos com alto risco de deslocamento e degradação ambiental; Convenção 169 da OIT (art. 6º – consulta prévia a povos indígenas e tribais).</w:t>
            </w:r>
          </w:p>
        </w:tc>
      </w:tr>
      <w:tr>
        <w:trPr>
          <w:cantSplit w:val="0"/>
          <w:trHeight w:val="7790" w:hRule="atLeast"/>
          <w:tblHeader w:val="0"/>
        </w:trPr>
        <w:tc>
          <w:tcPr>
            <w:tcMar>
              <w:top w:w="100.0" w:type="dxa"/>
              <w:left w:w="100.0" w:type="dxa"/>
              <w:bottom w:w="100.0" w:type="dxa"/>
              <w:right w:w="100.0" w:type="dxa"/>
            </w:tcMar>
            <w:vAlign w:val="top"/>
          </w:tcPr>
          <w:p w:rsidR="00000000" w:rsidDel="00000000" w:rsidP="00000000" w:rsidRDefault="00000000" w:rsidRPr="00000000" w14:paraId="0000005E">
            <w:pPr>
              <w:ind w:right="-182.5984251968498"/>
              <w:rPr/>
            </w:pPr>
            <w:r w:rsidDel="00000000" w:rsidR="00000000" w:rsidRPr="00000000">
              <w:rPr>
                <w:b w:val="1"/>
                <w:bCs w:val="1"/>
                <w:rtl w:val="0"/>
              </w:rPr>
              <w:t xml:space="preserve">Lei 15.190/2025 – arts. 42 a 45; PL 3.834/2025 – alterações nos arts. 42, 43, 44 (autoridades envolvidas, TIs, quilombos e UC)</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F">
            <w:pPr>
              <w:ind w:right="-182.5984251968498"/>
              <w:rPr/>
            </w:pPr>
            <w:r w:rsidDel="00000000" w:rsidR="00000000" w:rsidRPr="00000000">
              <w:rPr>
                <w:rtl w:val="0"/>
              </w:rPr>
              <w:t xml:space="preserve">A lei disciplina a participação de autoridades envolvidas (patrimônio cultural, TIs, UCs etc.) com prazos para manifestação, e prevê que a ausência de manifestação </w:t>
            </w:r>
            <w:r w:rsidDel="00000000" w:rsidR="00000000" w:rsidRPr="00000000">
              <w:rPr>
                <w:b w:val="1"/>
                <w:bCs w:val="1"/>
                <w:rtl w:val="0"/>
              </w:rPr>
              <w:t xml:space="preserve">não impede o andamento do licenciamento</w:t>
            </w:r>
            <w:r w:rsidDel="00000000" w:rsidR="00000000" w:rsidRPr="00000000">
              <w:rPr>
                <w:rtl w:val="0"/>
              </w:rPr>
              <w:t xml:space="preserve"> (arts. 42–44). O PL 3.834/2025: (i) explicita a inclusão de TIs com relatório circunstanciado publicado e de áreas quilombolas com certidão de autodefinição da FCP (arts. 43 I d,e; 44 I d,e); (ii) reafirma que a ausência de manifestação não obsta o licenciamento (art. 42, III-A), com exceção das UCs; (iii) estabelece que a manifestação das autoridades envolvidas </w:t>
            </w:r>
            <w:r w:rsidDel="00000000" w:rsidR="00000000" w:rsidRPr="00000000">
              <w:rPr>
                <w:b w:val="1"/>
                <w:bCs w:val="1"/>
                <w:rtl w:val="0"/>
              </w:rPr>
              <w:t xml:space="preserve">não vincula a decisão</w:t>
            </w:r>
            <w:r w:rsidDel="00000000" w:rsidR="00000000" w:rsidRPr="00000000">
              <w:rPr>
                <w:rtl w:val="0"/>
              </w:rPr>
              <w:t xml:space="preserve"> do órgão licenciador, salvo o órgão gestor de UC (art. 44, §6º-A).</w:t>
            </w:r>
          </w:p>
        </w:tc>
        <w:tc>
          <w:tcPr>
            <w:tcMar>
              <w:top w:w="100.0" w:type="dxa"/>
              <w:left w:w="100.0" w:type="dxa"/>
              <w:bottom w:w="100.0" w:type="dxa"/>
              <w:right w:w="100.0" w:type="dxa"/>
            </w:tcMar>
            <w:vAlign w:val="top"/>
          </w:tcPr>
          <w:p w:rsidR="00000000" w:rsidDel="00000000" w:rsidP="00000000" w:rsidRDefault="00000000" w:rsidRPr="00000000" w14:paraId="00000060">
            <w:pPr>
              <w:ind w:right="-182.5984251968498"/>
              <w:rPr/>
            </w:pPr>
            <w:r w:rsidDel="00000000" w:rsidR="00000000" w:rsidRPr="00000000">
              <w:rPr>
                <w:rtl w:val="0"/>
              </w:rPr>
              <w:t xml:space="preserve">Há avanços pontuais ao reconhecer TIs em processo de demarcação e territórios quilombolas em estágio de autodefinição. Contudo, a combinação de: (a) prazos curtos; (b) efeito não vinculante das manifestações; e (c) possibilidade de prosseguir mesmo sem manifestação fragiliza a proteção de TIs, quilombos e bens culturais, colocando a </w:t>
            </w:r>
            <w:r w:rsidDel="00000000" w:rsidR="00000000" w:rsidRPr="00000000">
              <w:rPr>
                <w:b w:val="1"/>
                <w:bCs w:val="1"/>
                <w:rtl w:val="0"/>
              </w:rPr>
              <w:t xml:space="preserve">centralidade decisória no órgão licenciador</w:t>
            </w:r>
            <w:r w:rsidDel="00000000" w:rsidR="00000000" w:rsidRPr="00000000">
              <w:rPr>
                <w:rtl w:val="0"/>
              </w:rPr>
              <w:t xml:space="preserve">, frequentemente pressionado por interesses setoriais e sem competência para falar sobre tais territórios afetados. Em contextos de desigualdade estrutural, isso tende a </w:t>
            </w:r>
            <w:r w:rsidDel="00000000" w:rsidR="00000000" w:rsidRPr="00000000">
              <w:rPr>
                <w:b w:val="1"/>
                <w:bCs w:val="1"/>
                <w:rtl w:val="0"/>
              </w:rPr>
              <w:t xml:space="preserve">esvaziar a consulta substancial</w:t>
            </w:r>
            <w:r w:rsidDel="00000000" w:rsidR="00000000" w:rsidRPr="00000000">
              <w:rPr>
                <w:rtl w:val="0"/>
              </w:rPr>
              <w:t xml:space="preserve"> a povos e comunidades tradicionais.</w:t>
            </w:r>
          </w:p>
        </w:tc>
        <w:tc>
          <w:tcPr>
            <w:tcMar>
              <w:top w:w="100.0" w:type="dxa"/>
              <w:left w:w="100.0" w:type="dxa"/>
              <w:bottom w:w="100.0" w:type="dxa"/>
              <w:right w:w="100.0" w:type="dxa"/>
            </w:tcMar>
            <w:vAlign w:val="top"/>
          </w:tcPr>
          <w:p w:rsidR="00000000" w:rsidDel="00000000" w:rsidP="00000000" w:rsidRDefault="00000000" w:rsidRPr="00000000" w14:paraId="00000061">
            <w:pPr>
              <w:ind w:right="-182.5984251968498"/>
              <w:rPr/>
            </w:pPr>
            <w:r w:rsidDel="00000000" w:rsidR="00000000" w:rsidRPr="00000000">
              <w:rPr>
                <w:rtl w:val="0"/>
              </w:rPr>
              <w:t xml:space="preserve">CF/88, arts. 231 e 68 do ADCT; Convenção 169 da OIT (arts. 6, 7, 13–16); Declaração ONU sobre Direitos dos Povos Indígenas (arts. 19, 25–32); CADH (jurisprudência </w:t>
            </w:r>
            <w:r w:rsidDel="00000000" w:rsidR="00000000" w:rsidRPr="00000000">
              <w:rPr>
                <w:i w:val="1"/>
                <w:iCs w:val="1"/>
                <w:rtl w:val="0"/>
              </w:rPr>
              <w:t xml:space="preserve">Saramaka</w:t>
            </w:r>
            <w:r w:rsidDel="00000000" w:rsidR="00000000" w:rsidRPr="00000000">
              <w:rPr>
                <w:rtl w:val="0"/>
              </w:rPr>
              <w:t xml:space="preserve">, </w:t>
            </w:r>
            <w:r w:rsidDel="00000000" w:rsidR="00000000" w:rsidRPr="00000000">
              <w:rPr>
                <w:i w:val="1"/>
                <w:iCs w:val="1"/>
                <w:rtl w:val="0"/>
              </w:rPr>
              <w:t xml:space="preserve">Lhaka Honhat</w:t>
            </w:r>
            <w:r w:rsidDel="00000000" w:rsidR="00000000" w:rsidRPr="00000000">
              <w:rPr>
                <w:rtl w:val="0"/>
              </w:rPr>
              <w:t xml:space="preserve">).</w:t>
            </w:r>
          </w:p>
        </w:tc>
      </w:tr>
      <w:tr>
        <w:trPr>
          <w:cantSplit w:val="0"/>
          <w:trHeight w:val="48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2">
            <w:pPr>
              <w:ind w:right="-182.5984251968498"/>
              <w:rPr/>
            </w:pPr>
            <w:r w:rsidDel="00000000" w:rsidR="00000000" w:rsidRPr="00000000">
              <w:rPr>
                <w:b w:val="1"/>
                <w:bCs w:val="1"/>
                <w:rtl w:val="0"/>
              </w:rPr>
              <w:t xml:space="preserve">Lei 15.190/2025 – art. 54 e PL 3.834/2025 – art. 54, §1º-A e §3º (estudos em Unidades de Conservação)</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3">
            <w:pPr>
              <w:ind w:right="-182.5984251968498"/>
              <w:rPr/>
            </w:pPr>
            <w:r w:rsidDel="00000000" w:rsidR="00000000" w:rsidRPr="00000000">
              <w:rPr>
                <w:rtl w:val="0"/>
              </w:rPr>
              <w:t xml:space="preserve">O art. 54 autoriza a realização de </w:t>
            </w:r>
            <w:r w:rsidDel="00000000" w:rsidR="00000000" w:rsidRPr="00000000">
              <w:rPr>
                <w:b w:val="1"/>
                <w:bCs w:val="1"/>
                <w:rtl w:val="0"/>
              </w:rPr>
              <w:t xml:space="preserve">estudos técnicos e ambientais</w:t>
            </w:r>
            <w:r w:rsidDel="00000000" w:rsidR="00000000" w:rsidRPr="00000000">
              <w:rPr>
                <w:rtl w:val="0"/>
              </w:rPr>
              <w:t xml:space="preserve"> relativos a planejamento setorial em </w:t>
            </w:r>
            <w:r w:rsidDel="00000000" w:rsidR="00000000" w:rsidRPr="00000000">
              <w:rPr>
                <w:b w:val="1"/>
                <w:bCs w:val="1"/>
                <w:rtl w:val="0"/>
              </w:rPr>
              <w:t xml:space="preserve">todas as categorias de UC</w:t>
            </w:r>
            <w:r w:rsidDel="00000000" w:rsidR="00000000" w:rsidRPr="00000000">
              <w:rPr>
                <w:rtl w:val="0"/>
              </w:rPr>
              <w:t xml:space="preserve">, respeitada a legislação do SNUC. O PL 3.834/2025 acrescenta que a interferência dos estudos deve ser a “menor possível”, preservando a integridade dos atributos ecológicos (art. 54, § 1º-A), e prevê regulamentação posterior das hipóteses e procedimentos (art. 54, § 3º).</w:t>
            </w:r>
          </w:p>
        </w:tc>
        <w:tc>
          <w:tcPr>
            <w:tcMar>
              <w:top w:w="100.0" w:type="dxa"/>
              <w:left w:w="100.0" w:type="dxa"/>
              <w:bottom w:w="100.0" w:type="dxa"/>
              <w:right w:w="100.0" w:type="dxa"/>
            </w:tcMar>
            <w:vAlign w:val="top"/>
          </w:tcPr>
          <w:p w:rsidR="00000000" w:rsidDel="00000000" w:rsidP="00000000" w:rsidRDefault="00000000" w:rsidRPr="00000000" w14:paraId="00000064">
            <w:pPr>
              <w:ind w:right="-182.5984251968498"/>
              <w:rPr/>
            </w:pPr>
            <w:r w:rsidDel="00000000" w:rsidR="00000000" w:rsidRPr="00000000">
              <w:rPr>
                <w:rtl w:val="0"/>
              </w:rPr>
              <w:t xml:space="preserve">A abertura ampla para estudos em todas as categorias de UC – inclusive de proteção integral – pode funcionar, na prática, como </w:t>
            </w:r>
            <w:r w:rsidDel="00000000" w:rsidR="00000000" w:rsidRPr="00000000">
              <w:rPr>
                <w:b w:val="1"/>
                <w:bCs w:val="1"/>
                <w:rtl w:val="0"/>
              </w:rPr>
              <w:t xml:space="preserve">porta de entrada para projetos de infraestrutura e exploração em áreas especialmente protegidas</w:t>
            </w:r>
            <w:r w:rsidDel="00000000" w:rsidR="00000000" w:rsidRPr="00000000">
              <w:rPr>
                <w:rtl w:val="0"/>
              </w:rPr>
              <w:t xml:space="preserve">, sob o argumento de “planejamento setorial”. A falta de critérios claros no texto legal e a remissão a regulamento posterior geram insegurança e risco de flexibilização futura via norma infralegal, em contradição com o princípio da </w:t>
            </w:r>
            <w:r w:rsidDel="00000000" w:rsidR="00000000" w:rsidRPr="00000000">
              <w:rPr>
                <w:b w:val="1"/>
                <w:bCs w:val="1"/>
                <w:rtl w:val="0"/>
              </w:rPr>
              <w:t xml:space="preserve">não regressão ambiental</w:t>
            </w:r>
            <w:r w:rsidDel="00000000" w:rsidR="00000000" w:rsidRPr="00000000">
              <w:rPr>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5">
            <w:pPr>
              <w:ind w:right="-182.5984251968498"/>
              <w:rPr/>
            </w:pPr>
            <w:r w:rsidDel="00000000" w:rsidR="00000000" w:rsidRPr="00000000">
              <w:rPr>
                <w:rtl w:val="0"/>
              </w:rPr>
              <w:t xml:space="preserve">CF/88, art. 225, § 1º, III; Lei 9.985/2000 (SNUC); Protocolo de San Salvador (art. 11); opinião consultiva OC-23/17 (Corte IDH – dever reforçado de proteção em áreas sensíveis).</w:t>
            </w:r>
          </w:p>
        </w:tc>
      </w:tr>
      <w:tr>
        <w:trPr>
          <w:cantSplit w:val="0"/>
          <w:trHeight w:val="563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6">
            <w:pPr>
              <w:ind w:right="-182.5984251968498"/>
              <w:rPr/>
            </w:pPr>
            <w:r w:rsidDel="00000000" w:rsidR="00000000" w:rsidRPr="00000000">
              <w:rPr>
                <w:b w:val="1"/>
                <w:bCs w:val="1"/>
                <w:rtl w:val="0"/>
              </w:rPr>
              <w:t xml:space="preserve">PL 3.834/2025 – novo art. 58-A (instituições financeiras e responsabilidade ambiental)</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7">
            <w:pPr>
              <w:ind w:right="-182.5984251968498"/>
              <w:rPr/>
            </w:pPr>
            <w:r w:rsidDel="00000000" w:rsidR="00000000" w:rsidRPr="00000000">
              <w:rPr>
                <w:rtl w:val="0"/>
              </w:rPr>
              <w:t xml:space="preserve">O PL cria o art. 58-A, determinando que instituições supervisionadas pelo Banco Central </w:t>
            </w:r>
            <w:r w:rsidDel="00000000" w:rsidR="00000000" w:rsidRPr="00000000">
              <w:rPr>
                <w:b w:val="1"/>
                <w:bCs w:val="1"/>
                <w:rtl w:val="0"/>
              </w:rPr>
              <w:t xml:space="preserve">devem exigir as licenças ambientais cabíveis e válidas como condição de financiamento</w:t>
            </w:r>
            <w:r w:rsidDel="00000000" w:rsidR="00000000" w:rsidRPr="00000000">
              <w:rPr>
                <w:rtl w:val="0"/>
              </w:rPr>
              <w:t xml:space="preserve">. Ao mesmo tempo, afirma que tais instituições </w:t>
            </w:r>
            <w:r w:rsidDel="00000000" w:rsidR="00000000" w:rsidRPr="00000000">
              <w:rPr>
                <w:b w:val="1"/>
                <w:bCs w:val="1"/>
                <w:rtl w:val="0"/>
              </w:rPr>
              <w:t xml:space="preserve">não possuem dever fiscalizatório</w:t>
            </w:r>
            <w:r w:rsidDel="00000000" w:rsidR="00000000" w:rsidRPr="00000000">
              <w:rPr>
                <w:rtl w:val="0"/>
              </w:rPr>
              <w:t xml:space="preserve">, não respondem por danos ambientais decorrentes de empreendimentos licenciados, salvo se descumprirem a obrigação de exigir as licenças (hipótese em que há responsabilidade solidária, limitada à sua contribuição).</w:t>
            </w:r>
          </w:p>
        </w:tc>
        <w:tc>
          <w:tcPr>
            <w:tcMar>
              <w:top w:w="100.0" w:type="dxa"/>
              <w:left w:w="100.0" w:type="dxa"/>
              <w:bottom w:w="100.0" w:type="dxa"/>
              <w:right w:w="100.0" w:type="dxa"/>
            </w:tcMar>
            <w:vAlign w:val="top"/>
          </w:tcPr>
          <w:p w:rsidR="00000000" w:rsidDel="00000000" w:rsidP="00000000" w:rsidRDefault="00000000" w:rsidRPr="00000000" w14:paraId="00000068">
            <w:pPr>
              <w:ind w:right="-182.5984251968498"/>
              <w:rPr/>
            </w:pPr>
            <w:r w:rsidDel="00000000" w:rsidR="00000000" w:rsidRPr="00000000">
              <w:rPr>
                <w:rtl w:val="0"/>
              </w:rPr>
              <w:t xml:space="preserve">A previsão de dever de checar licenças é positiva, mas o dispositivo, ao enfatizar a inexistência de dever fiscalizatório e restringir a responsabilidade solidária a hipóteses estritas, pode ser interpretado para </w:t>
            </w:r>
            <w:r w:rsidDel="00000000" w:rsidR="00000000" w:rsidRPr="00000000">
              <w:rPr>
                <w:b w:val="1"/>
                <w:bCs w:val="1"/>
                <w:rtl w:val="0"/>
              </w:rPr>
              <w:t xml:space="preserve">reduzir o incentivo à devida diligência e compliance </w:t>
            </w:r>
            <w:r w:rsidDel="00000000" w:rsidR="00000000" w:rsidRPr="00000000">
              <w:rPr>
                <w:rtl w:val="0"/>
              </w:rPr>
              <w:t xml:space="preserve">em operações de alto risco socioambiental. Isso contrasta com os padrões internacionais de due diligence, que recomendam avaliação contínua e engajamento ativo de financiadores em casos de risco elevado, além de ser um retrocesso nas próprias regras e normativas aplicadas no país às instituições financeiras.</w:t>
            </w:r>
          </w:p>
        </w:tc>
        <w:tc>
          <w:tcPr>
            <w:tcMar>
              <w:top w:w="100.0" w:type="dxa"/>
              <w:left w:w="100.0" w:type="dxa"/>
              <w:bottom w:w="100.0" w:type="dxa"/>
              <w:right w:w="100.0" w:type="dxa"/>
            </w:tcMar>
            <w:vAlign w:val="top"/>
          </w:tcPr>
          <w:p w:rsidR="00000000" w:rsidDel="00000000" w:rsidP="00000000" w:rsidRDefault="00000000" w:rsidRPr="00000000" w14:paraId="00000069">
            <w:pPr>
              <w:ind w:right="-182.5984251968498"/>
              <w:rPr/>
            </w:pPr>
            <w:r w:rsidDel="00000000" w:rsidR="00000000" w:rsidRPr="00000000">
              <w:rPr>
                <w:rtl w:val="0"/>
              </w:rPr>
              <w:t xml:space="preserve">Princípios Orientadores da ONU sobre Empresas e Direitos Humanos (pilares 1 e 2); Diretrizes da OCDE para Instituições Financeiras; CF/88, art. 225, § 3º (responsabilidade objetiva por danos ambientais).</w:t>
            </w:r>
          </w:p>
        </w:tc>
      </w:tr>
      <w:tr>
        <w:trPr>
          <w:cantSplit w:val="0"/>
          <w:trHeight w:val="4550" w:hRule="atLeast"/>
          <w:tblHeader w:val="0"/>
        </w:trPr>
        <w:tc>
          <w:tcPr>
            <w:tcMar>
              <w:top w:w="100.0" w:type="dxa"/>
              <w:left w:w="100.0" w:type="dxa"/>
              <w:bottom w:w="100.0" w:type="dxa"/>
              <w:right w:w="100.0" w:type="dxa"/>
            </w:tcMar>
            <w:vAlign w:val="top"/>
          </w:tcPr>
          <w:p w:rsidR="00000000" w:rsidDel="00000000" w:rsidP="00000000" w:rsidRDefault="00000000" w:rsidRPr="00000000" w14:paraId="0000006A">
            <w:pPr>
              <w:ind w:right="-182.5984251968498"/>
              <w:rPr/>
            </w:pPr>
            <w:r w:rsidDel="00000000" w:rsidR="00000000" w:rsidRPr="00000000">
              <w:rPr>
                <w:b w:val="1"/>
                <w:bCs w:val="1"/>
                <w:rtl w:val="0"/>
              </w:rPr>
              <w:t xml:space="preserve">PL 3.834/2025 – novo art. 65-A (prevalência da manifestação do órgão licenciador)</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B">
            <w:pPr>
              <w:ind w:right="-182.5984251968498"/>
              <w:rPr/>
            </w:pPr>
            <w:r w:rsidDel="00000000" w:rsidR="00000000" w:rsidRPr="00000000">
              <w:rPr>
                <w:rtl w:val="0"/>
              </w:rPr>
              <w:t xml:space="preserve">O novo art. 65-A estabelece que, em regra, </w:t>
            </w:r>
            <w:r w:rsidDel="00000000" w:rsidR="00000000" w:rsidRPr="00000000">
              <w:rPr>
                <w:b w:val="1"/>
                <w:bCs w:val="1"/>
                <w:rtl w:val="0"/>
              </w:rPr>
              <w:t xml:space="preserve">prevalece a manifestação do órgão licenciador</w:t>
            </w:r>
            <w:r w:rsidDel="00000000" w:rsidR="00000000" w:rsidRPr="00000000">
              <w:rPr>
                <w:rtl w:val="0"/>
              </w:rPr>
              <w:t xml:space="preserve"> quando houver conflito com medidas de órgãos ambientais de outros entes federativos, salvo em casos de omissão, insuficiência ou inadequação da atuação do órgão licenciador, quando então prevalecem as medidas do órgão não licenciador que sejam mais efetivas para prevenir ou reparar dano ambiental.</w:t>
            </w:r>
          </w:p>
        </w:tc>
        <w:tc>
          <w:tcPr>
            <w:tcMar>
              <w:top w:w="100.0" w:type="dxa"/>
              <w:left w:w="100.0" w:type="dxa"/>
              <w:bottom w:w="100.0" w:type="dxa"/>
              <w:right w:w="100.0" w:type="dxa"/>
            </w:tcMar>
            <w:vAlign w:val="top"/>
          </w:tcPr>
          <w:p w:rsidR="00000000" w:rsidDel="00000000" w:rsidP="00000000" w:rsidRDefault="00000000" w:rsidRPr="00000000" w14:paraId="0000006C">
            <w:pPr>
              <w:ind w:right="-182.5984251968498"/>
              <w:rPr/>
            </w:pPr>
            <w:r w:rsidDel="00000000" w:rsidR="00000000" w:rsidRPr="00000000">
              <w:rPr>
                <w:rtl w:val="0"/>
              </w:rPr>
              <w:t xml:space="preserve">Embora busque dar segurança jurídica, o artigo pode ser utilizado para </w:t>
            </w:r>
            <w:r w:rsidDel="00000000" w:rsidR="00000000" w:rsidRPr="00000000">
              <w:rPr>
                <w:b w:val="1"/>
                <w:bCs w:val="1"/>
                <w:rtl w:val="0"/>
              </w:rPr>
              <w:t xml:space="preserve">concentrar poder decisório em um único órgão</w:t>
            </w:r>
            <w:r w:rsidDel="00000000" w:rsidR="00000000" w:rsidRPr="00000000">
              <w:rPr>
                <w:rtl w:val="0"/>
              </w:rPr>
              <w:t xml:space="preserve">, reduzindo a efetividade do controle ambiental cooperativo previsto na LC 140/2011. Em cenários de captura ou fragilização do órgão licenciador, o dispositivo pode desestimular atuações firmes de outros entes e </w:t>
            </w:r>
            <w:r w:rsidDel="00000000" w:rsidR="00000000" w:rsidRPr="00000000">
              <w:rPr>
                <w:b w:val="1"/>
                <w:bCs w:val="1"/>
                <w:rtl w:val="0"/>
              </w:rPr>
              <w:t xml:space="preserve">dificultar uma resposta rápida a situações de degradação ambiental</w:t>
            </w:r>
            <w:r w:rsidDel="00000000" w:rsidR="00000000" w:rsidRPr="00000000">
              <w:rPr>
                <w:rtl w:val="0"/>
              </w:rPr>
              <w:t xml:space="preserve">.</w:t>
            </w:r>
          </w:p>
        </w:tc>
        <w:tc>
          <w:tcPr>
            <w:tcMar>
              <w:top w:w="100.0" w:type="dxa"/>
              <w:left w:w="100.0" w:type="dxa"/>
              <w:bottom w:w="100.0" w:type="dxa"/>
              <w:right w:w="100.0" w:type="dxa"/>
            </w:tcMar>
            <w:vAlign w:val="top"/>
          </w:tcPr>
          <w:p w:rsidR="00000000" w:rsidDel="00000000" w:rsidP="00000000" w:rsidRDefault="00000000" w:rsidRPr="00000000" w14:paraId="0000006D">
            <w:pPr>
              <w:ind w:right="-182.5984251968498"/>
              <w:rPr/>
            </w:pPr>
            <w:r w:rsidDel="00000000" w:rsidR="00000000" w:rsidRPr="00000000">
              <w:rPr>
                <w:rtl w:val="0"/>
              </w:rPr>
              <w:t xml:space="preserve">CF/88, arts. 23 e 225; Lei Complementar 140/2011 (cooperação federativa em matéria ambiental); CADH (art. 26 – dever de organizar aparato estatal adequado à proteção dos DESCA).</w:t>
            </w:r>
          </w:p>
        </w:tc>
      </w:tr>
    </w:tbl>
    <w:p w:rsidR="00000000" w:rsidDel="00000000" w:rsidP="00000000" w:rsidRDefault="00000000" w:rsidRPr="00000000" w14:paraId="0000006E">
      <w:pPr>
        <w:ind w:right="-182.5984251968498"/>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sexedge38cu1" w:id="9"/>
      <w:bookmarkEnd w:id="9"/>
      <w:r w:rsidDel="00000000" w:rsidR="00000000" w:rsidRPr="00000000">
        <w:rPr>
          <w:b w:val="1"/>
          <w:bCs w:val="1"/>
          <w:sz w:val="34"/>
          <w:szCs w:val="34"/>
          <w:rtl w:val="0"/>
        </w:rPr>
        <w:t xml:space="preserve">Síntese Analítica</w:t>
      </w:r>
    </w:p>
    <w:p w:rsidR="00000000" w:rsidDel="00000000" w:rsidP="00000000" w:rsidRDefault="00000000" w:rsidRPr="00000000" w14:paraId="00000070">
      <w:pPr>
        <w:spacing w:after="240" w:before="240" w:lineRule="auto"/>
        <w:rPr/>
      </w:pPr>
      <w:r w:rsidDel="00000000" w:rsidR="00000000" w:rsidRPr="00000000">
        <w:rPr>
          <w:rtl w:val="0"/>
        </w:rPr>
        <w:t xml:space="preserve">A análise consolidada da </w:t>
      </w:r>
      <w:r w:rsidDel="00000000" w:rsidR="00000000" w:rsidRPr="00000000">
        <w:rPr>
          <w:b w:val="1"/>
          <w:bCs w:val="1"/>
          <w:rtl w:val="0"/>
        </w:rPr>
        <w:t xml:space="preserve">Lei nº 15.190/2025</w:t>
      </w:r>
      <w:r w:rsidDel="00000000" w:rsidR="00000000" w:rsidRPr="00000000">
        <w:rPr>
          <w:rtl w:val="0"/>
        </w:rPr>
        <w:t xml:space="preserve">, da </w:t>
      </w:r>
      <w:r w:rsidDel="00000000" w:rsidR="00000000" w:rsidRPr="00000000">
        <w:rPr>
          <w:b w:val="1"/>
          <w:bCs w:val="1"/>
          <w:rtl w:val="0"/>
        </w:rPr>
        <w:t xml:space="preserve">Medida Provisória nº 1.308/2025</w:t>
      </w:r>
      <w:r w:rsidDel="00000000" w:rsidR="00000000" w:rsidRPr="00000000">
        <w:rPr>
          <w:rtl w:val="0"/>
        </w:rPr>
        <w:t xml:space="preserve"> e do </w:t>
      </w:r>
      <w:r w:rsidDel="00000000" w:rsidR="00000000" w:rsidRPr="00000000">
        <w:rPr>
          <w:b w:val="1"/>
          <w:bCs w:val="1"/>
          <w:rtl w:val="0"/>
        </w:rPr>
        <w:t xml:space="preserve">Projeto de Lei nº 3.834/2025 evidencia</w:t>
      </w:r>
      <w:r w:rsidDel="00000000" w:rsidR="00000000" w:rsidRPr="00000000">
        <w:rPr>
          <w:rtl w:val="0"/>
        </w:rPr>
        <w:t xml:space="preserve"> um </w:t>
      </w:r>
      <w:r w:rsidDel="00000000" w:rsidR="00000000" w:rsidRPr="00000000">
        <w:rPr>
          <w:b w:val="1"/>
          <w:bCs w:val="1"/>
          <w:rtl w:val="0"/>
        </w:rPr>
        <w:t xml:space="preserve">movimento de fragilização profunda do licenciamento ambiental brasileiro</w:t>
      </w:r>
      <w:r w:rsidDel="00000000" w:rsidR="00000000" w:rsidRPr="00000000">
        <w:rPr>
          <w:rtl w:val="0"/>
        </w:rPr>
        <w:t xml:space="preserve">, com implicações sistêmicas para o funcionamento do </w:t>
      </w:r>
      <w:r w:rsidDel="00000000" w:rsidR="00000000" w:rsidRPr="00000000">
        <w:rPr>
          <w:b w:val="1"/>
          <w:bCs w:val="1"/>
          <w:rtl w:val="0"/>
        </w:rPr>
        <w:t xml:space="preserve">Sistema Nacional de Meio Ambiente (Sisnama)</w:t>
      </w:r>
      <w:r w:rsidDel="00000000" w:rsidR="00000000" w:rsidRPr="00000000">
        <w:rPr>
          <w:rtl w:val="0"/>
        </w:rPr>
        <w:t xml:space="preserve"> e para o cumprimento das </w:t>
      </w:r>
      <w:r w:rsidDel="00000000" w:rsidR="00000000" w:rsidRPr="00000000">
        <w:rPr>
          <w:b w:val="1"/>
          <w:bCs w:val="1"/>
          <w:rtl w:val="0"/>
        </w:rPr>
        <w:t xml:space="preserve">obrigações internacionais do Estado brasileiro em matéria de direitos humanos e ambientais</w:t>
      </w:r>
      <w:r w:rsidDel="00000000" w:rsidR="00000000" w:rsidRPr="00000000">
        <w:rPr>
          <w:rtl w:val="0"/>
        </w:rPr>
        <w:t xml:space="preserve">.</w:t>
      </w:r>
    </w:p>
    <w:p w:rsidR="00000000" w:rsidDel="00000000" w:rsidP="00000000" w:rsidRDefault="00000000" w:rsidRPr="00000000" w14:paraId="00000071">
      <w:pPr>
        <w:spacing w:after="240" w:before="240" w:lineRule="auto"/>
        <w:rPr/>
      </w:pPr>
      <w:r w:rsidDel="00000000" w:rsidR="00000000" w:rsidRPr="00000000">
        <w:rPr>
          <w:rtl w:val="0"/>
        </w:rPr>
        <w:t xml:space="preserve">Embora o texto legal declare buscar eficiência e segurança jurídica, o exame técnico dos dispositivos revela uma tendência de </w:t>
      </w:r>
      <w:r w:rsidDel="00000000" w:rsidR="00000000" w:rsidRPr="00000000">
        <w:rPr>
          <w:b w:val="1"/>
          <w:bCs w:val="1"/>
          <w:rtl w:val="0"/>
        </w:rPr>
        <w:t xml:space="preserve">descentralização sem coordenação</w:t>
      </w:r>
      <w:r w:rsidDel="00000000" w:rsidR="00000000" w:rsidRPr="00000000">
        <w:rPr>
          <w:rtl w:val="0"/>
        </w:rPr>
        <w:t xml:space="preserve">, </w:t>
      </w:r>
      <w:r w:rsidDel="00000000" w:rsidR="00000000" w:rsidRPr="00000000">
        <w:rPr>
          <w:b w:val="1"/>
          <w:bCs w:val="1"/>
          <w:rtl w:val="0"/>
        </w:rPr>
        <w:t xml:space="preserve">concentração decisória nos órgãos licenciadores</w:t>
      </w:r>
      <w:r w:rsidDel="00000000" w:rsidR="00000000" w:rsidRPr="00000000">
        <w:rPr>
          <w:rtl w:val="0"/>
        </w:rPr>
        <w:t xml:space="preserve"> e </w:t>
      </w:r>
      <w:r w:rsidDel="00000000" w:rsidR="00000000" w:rsidRPr="00000000">
        <w:rPr>
          <w:b w:val="1"/>
          <w:bCs w:val="1"/>
          <w:rtl w:val="0"/>
        </w:rPr>
        <w:t xml:space="preserve">flexibilização de controles prévios</w:t>
      </w:r>
      <w:r w:rsidDel="00000000" w:rsidR="00000000" w:rsidRPr="00000000">
        <w:rPr>
          <w:rtl w:val="0"/>
        </w:rPr>
        <w:t xml:space="preserve">, que enfraquecem a capacidade de prevenção e mitigação de danos ambientais. As principais mudanças, comparadas ao regime anterior da Resolução Conama nº 01/1986 e à legislação complementar (Lei Complementar nº 140/2011; Lei nº 9.985/2000), configuram </w:t>
      </w:r>
      <w:r w:rsidDel="00000000" w:rsidR="00000000" w:rsidRPr="00000000">
        <w:rPr>
          <w:b w:val="1"/>
          <w:bCs w:val="1"/>
          <w:rtl w:val="0"/>
        </w:rPr>
        <w:t xml:space="preserve">retrocesso institucional</w:t>
      </w:r>
      <w:r w:rsidDel="00000000" w:rsidR="00000000" w:rsidRPr="00000000">
        <w:rPr>
          <w:rtl w:val="0"/>
        </w:rPr>
        <w:t xml:space="preserve"> em diversos eixos:</w:t>
      </w:r>
    </w:p>
    <w:p w:rsidR="00000000" w:rsidDel="00000000" w:rsidP="00000000" w:rsidRDefault="00000000" w:rsidRPr="00000000" w14:paraId="00000072">
      <w:pPr>
        <w:numPr>
          <w:ilvl w:val="0"/>
          <w:numId w:val="6"/>
        </w:numPr>
        <w:spacing w:after="0" w:afterAutospacing="0" w:before="240" w:lineRule="auto"/>
        <w:ind w:left="720" w:hanging="360"/>
      </w:pPr>
      <w:r w:rsidDel="00000000" w:rsidR="00000000" w:rsidRPr="00000000">
        <w:rPr>
          <w:b w:val="1"/>
          <w:bCs w:val="1"/>
          <w:rtl w:val="0"/>
        </w:rPr>
        <w:t xml:space="preserve">Fragilização dos instrumentos de participação e transparência</w:t>
        <w:br w:type="textWrapping"/>
      </w:r>
      <w:r w:rsidDel="00000000" w:rsidR="00000000" w:rsidRPr="00000000">
        <w:rPr>
          <w:rtl w:val="0"/>
        </w:rPr>
        <w:t xml:space="preserve">A transformação da audiência pública em procedimento opcional e predominantemente remoto (arts. 39–41) reduz a efetividade da participação social e o acesso equitativo à informação ambiental, contrariando compromissos assumidos no âmbito do </w:t>
      </w:r>
      <w:r w:rsidDel="00000000" w:rsidR="00000000" w:rsidRPr="00000000">
        <w:rPr>
          <w:b w:val="1"/>
          <w:bCs w:val="1"/>
          <w:rtl w:val="0"/>
        </w:rPr>
        <w:t xml:space="preserve">Acordo de Escazú</w:t>
      </w:r>
      <w:r w:rsidDel="00000000" w:rsidR="00000000" w:rsidRPr="00000000">
        <w:rPr>
          <w:rtl w:val="0"/>
        </w:rPr>
        <w:t xml:space="preserve"> e da </w:t>
      </w:r>
      <w:r w:rsidDel="00000000" w:rsidR="00000000" w:rsidRPr="00000000">
        <w:rPr>
          <w:b w:val="1"/>
          <w:bCs w:val="1"/>
          <w:rtl w:val="0"/>
        </w:rPr>
        <w:t xml:space="preserve">Convenção Americana sobre Direitos Humanos</w:t>
      </w:r>
      <w:r w:rsidDel="00000000" w:rsidR="00000000" w:rsidRPr="00000000">
        <w:rPr>
          <w:rtl w:val="0"/>
        </w:rPr>
        <w:t xml:space="preserve">. Em regiões com populações tradicionais e baixa conectividade, essa limitação aprofunda desigualdades e inviabiliza consultas significativas.</w:t>
      </w:r>
    </w:p>
    <w:p w:rsidR="00000000" w:rsidDel="00000000" w:rsidP="00000000" w:rsidRDefault="00000000" w:rsidRPr="00000000" w14:paraId="00000073">
      <w:pPr>
        <w:numPr>
          <w:ilvl w:val="0"/>
          <w:numId w:val="6"/>
        </w:numPr>
        <w:spacing w:after="0" w:afterAutospacing="0" w:before="0" w:beforeAutospacing="0" w:lineRule="auto"/>
        <w:ind w:left="720" w:hanging="360"/>
      </w:pPr>
      <w:r w:rsidDel="00000000" w:rsidR="00000000" w:rsidRPr="00000000">
        <w:rPr>
          <w:b w:val="1"/>
          <w:bCs w:val="1"/>
          <w:rtl w:val="0"/>
        </w:rPr>
        <w:t xml:space="preserve">Desvinculação do licenciamento de instrumentos de gestão territorial e hídrica</w:t>
        <w:br w:type="textWrapping"/>
      </w:r>
      <w:r w:rsidDel="00000000" w:rsidR="00000000" w:rsidRPr="00000000">
        <w:rPr>
          <w:rtl w:val="0"/>
        </w:rPr>
        <w:t xml:space="preserve">O art. 17 estabelece que o licenciamento independe de certidões municipais e de autorizações de órgãos não integrantes do Sisnama. Essa cláusula rompe a </w:t>
      </w:r>
      <w:r w:rsidDel="00000000" w:rsidR="00000000" w:rsidRPr="00000000">
        <w:rPr>
          <w:b w:val="1"/>
          <w:bCs w:val="1"/>
          <w:rtl w:val="0"/>
        </w:rPr>
        <w:t xml:space="preserve">coerência federativa</w:t>
      </w:r>
      <w:r w:rsidDel="00000000" w:rsidR="00000000" w:rsidRPr="00000000">
        <w:rPr>
          <w:rtl w:val="0"/>
        </w:rPr>
        <w:t xml:space="preserve"> e reduz o papel dos municípios e de órgãos setoriais (gestão hídrica, patrimônio cultural, defesa civil), enfraquecendo a governança integrada do território e a prevenção de desastres climáticos — exatamente o ponto de alerta reiterado pela </w:t>
      </w:r>
      <w:r w:rsidDel="00000000" w:rsidR="00000000" w:rsidRPr="00000000">
        <w:rPr>
          <w:b w:val="1"/>
          <w:bCs w:val="1"/>
          <w:rtl w:val="0"/>
        </w:rPr>
        <w:t xml:space="preserve">REDESCA no Informe sobre o Rio Grande do Sul (2025)</w:t>
      </w:r>
      <w:r w:rsidDel="00000000" w:rsidR="00000000" w:rsidRPr="00000000">
        <w:rPr>
          <w:rtl w:val="0"/>
        </w:rPr>
        <w:t xml:space="preserve">.</w:t>
      </w:r>
    </w:p>
    <w:p w:rsidR="00000000" w:rsidDel="00000000" w:rsidP="00000000" w:rsidRDefault="00000000" w:rsidRPr="00000000" w14:paraId="00000074">
      <w:pPr>
        <w:numPr>
          <w:ilvl w:val="0"/>
          <w:numId w:val="6"/>
        </w:numPr>
        <w:spacing w:after="0" w:afterAutospacing="0" w:before="0" w:beforeAutospacing="0" w:lineRule="auto"/>
        <w:ind w:left="720" w:hanging="360"/>
      </w:pPr>
      <w:r w:rsidDel="00000000" w:rsidR="00000000" w:rsidRPr="00000000">
        <w:rPr>
          <w:b w:val="1"/>
          <w:bCs w:val="1"/>
          <w:rtl w:val="0"/>
        </w:rPr>
        <w:t xml:space="preserve">Expansão de dispensas e autolicenciamento em atividades rurais</w:t>
        <w:br w:type="textWrapping"/>
      </w:r>
      <w:r w:rsidDel="00000000" w:rsidR="00000000" w:rsidRPr="00000000">
        <w:rPr>
          <w:rtl w:val="0"/>
        </w:rPr>
        <w:t xml:space="preserve">A dispensa de licenciamento para atividades agropecuárias com base em autorregulação via CAR/PRA (arts. 8 e 9) transfere à boa-fé do produtor a função de controle ambiental. Essa estrutura incentiva a expansão da fronteira agropecuária sobre biomas savânicos e campestres, como o Cerrado e o Pantanal, sem análise de impactos cumulativos, reforçando o </w:t>
      </w:r>
      <w:r w:rsidDel="00000000" w:rsidR="00000000" w:rsidRPr="00000000">
        <w:rPr>
          <w:b w:val="1"/>
          <w:bCs w:val="1"/>
          <w:rtl w:val="0"/>
        </w:rPr>
        <w:t xml:space="preserve">risco de conversão de ecossistemas</w:t>
      </w:r>
      <w:r w:rsidDel="00000000" w:rsidR="00000000" w:rsidRPr="00000000">
        <w:rPr>
          <w:rtl w:val="0"/>
        </w:rPr>
        <w:t xml:space="preserve"> e perda de biodiversidade.</w:t>
      </w:r>
    </w:p>
    <w:p w:rsidR="00000000" w:rsidDel="00000000" w:rsidP="00000000" w:rsidRDefault="00000000" w:rsidRPr="00000000" w14:paraId="00000075">
      <w:pPr>
        <w:numPr>
          <w:ilvl w:val="0"/>
          <w:numId w:val="6"/>
        </w:numPr>
        <w:spacing w:after="0" w:afterAutospacing="0" w:before="0" w:beforeAutospacing="0" w:lineRule="auto"/>
        <w:ind w:left="720" w:hanging="360"/>
      </w:pPr>
      <w:r w:rsidDel="00000000" w:rsidR="00000000" w:rsidRPr="00000000">
        <w:rPr>
          <w:b w:val="1"/>
          <w:bCs w:val="1"/>
          <w:rtl w:val="0"/>
        </w:rPr>
        <w:t xml:space="preserve">Criação da Licença Ambiental Especial (LAE)</w:t>
        <w:br w:type="textWrapping"/>
      </w:r>
      <w:r w:rsidDel="00000000" w:rsidR="00000000" w:rsidRPr="00000000">
        <w:rPr>
          <w:rtl w:val="0"/>
        </w:rPr>
        <w:t xml:space="preserve">Regulada pela MPV nº 1.308/2025 e internalizada pelo PL nº 3.834/2025, a LAE institui um rito célere e centralizado para obras definidas politicamente como “estratégicas”. O modelo reduz a margem de avaliação técnica e o tempo de consulta pública, </w:t>
      </w:r>
      <w:r w:rsidDel="00000000" w:rsidR="00000000" w:rsidRPr="00000000">
        <w:rPr>
          <w:b w:val="1"/>
          <w:bCs w:val="1"/>
          <w:rtl w:val="0"/>
        </w:rPr>
        <w:t xml:space="preserve">politizando o licenciamento</w:t>
      </w:r>
      <w:r w:rsidDel="00000000" w:rsidR="00000000" w:rsidRPr="00000000">
        <w:rPr>
          <w:rtl w:val="0"/>
        </w:rPr>
        <w:t xml:space="preserve"> e limitando a aplicação do princípio da precaução, especialmente em grandes projetos de infraestrutura, mineração e energia.</w:t>
      </w:r>
    </w:p>
    <w:p w:rsidR="00000000" w:rsidDel="00000000" w:rsidP="00000000" w:rsidRDefault="00000000" w:rsidRPr="00000000" w14:paraId="00000076">
      <w:pPr>
        <w:numPr>
          <w:ilvl w:val="0"/>
          <w:numId w:val="6"/>
        </w:numPr>
        <w:spacing w:after="0" w:afterAutospacing="0" w:before="0" w:beforeAutospacing="0" w:lineRule="auto"/>
        <w:ind w:left="720" w:hanging="360"/>
      </w:pPr>
      <w:r w:rsidDel="00000000" w:rsidR="00000000" w:rsidRPr="00000000">
        <w:rPr>
          <w:b w:val="1"/>
          <w:bCs w:val="1"/>
          <w:rtl w:val="0"/>
        </w:rPr>
        <w:t xml:space="preserve">Limitação do escopo das condicionantes ambientais</w:t>
        <w:br w:type="textWrapping"/>
      </w:r>
      <w:r w:rsidDel="00000000" w:rsidR="00000000" w:rsidRPr="00000000">
        <w:rPr>
          <w:rtl w:val="0"/>
        </w:rPr>
        <w:t xml:space="preserve">As alterações propostas pelo PL nº 3.834/2025 (art. 14, §§ 1º-A, 2º-A e 5º-A) restringem as condicionantes a impactos diretos e imediatos do empreendimento, eliminando a possibilidade de medidas que enfrentem efeitos indiretos, sinérgicos ou estruturais, como desmatamento associado, aumento da pressão fundiária e vulnerabilidade social. Essa limitação impede que o licenciamento funcione como instrumento de </w:t>
      </w:r>
      <w:r w:rsidDel="00000000" w:rsidR="00000000" w:rsidRPr="00000000">
        <w:rPr>
          <w:b w:val="1"/>
          <w:bCs w:val="1"/>
          <w:rtl w:val="0"/>
        </w:rPr>
        <w:t xml:space="preserve">justiça ambiental</w:t>
      </w:r>
      <w:r w:rsidDel="00000000" w:rsidR="00000000" w:rsidRPr="00000000">
        <w:rPr>
          <w:rtl w:val="0"/>
        </w:rPr>
        <w:t xml:space="preserve"> e de correção de desigualdades territoriais.</w:t>
      </w:r>
    </w:p>
    <w:p w:rsidR="00000000" w:rsidDel="00000000" w:rsidP="00000000" w:rsidRDefault="00000000" w:rsidRPr="00000000" w14:paraId="00000077">
      <w:pPr>
        <w:numPr>
          <w:ilvl w:val="0"/>
          <w:numId w:val="6"/>
        </w:numPr>
        <w:spacing w:after="0" w:afterAutospacing="0" w:before="0" w:beforeAutospacing="0" w:lineRule="auto"/>
        <w:ind w:left="720" w:hanging="360"/>
      </w:pPr>
      <w:r w:rsidDel="00000000" w:rsidR="00000000" w:rsidRPr="00000000">
        <w:rPr>
          <w:b w:val="1"/>
          <w:bCs w:val="1"/>
          <w:rtl w:val="0"/>
        </w:rPr>
        <w:t xml:space="preserve">Descaracterização do controle técnico e redução da responsabilidade de financiadores</w:t>
        <w:br w:type="textWrapping"/>
      </w:r>
      <w:r w:rsidDel="00000000" w:rsidR="00000000" w:rsidRPr="00000000">
        <w:rPr>
          <w:rtl w:val="0"/>
        </w:rPr>
        <w:t xml:space="preserve">O novo art. 58-A do PL 3.834/2025 impõe às instituições financeiras apenas o dever de exigir licenças formais, mas </w:t>
      </w:r>
      <w:r w:rsidDel="00000000" w:rsidR="00000000" w:rsidRPr="00000000">
        <w:rPr>
          <w:b w:val="1"/>
          <w:bCs w:val="1"/>
          <w:rtl w:val="0"/>
        </w:rPr>
        <w:t xml:space="preserve">as isenta de dever fiscalizatório substancial</w:t>
      </w:r>
      <w:r w:rsidDel="00000000" w:rsidR="00000000" w:rsidRPr="00000000">
        <w:rPr>
          <w:rtl w:val="0"/>
        </w:rPr>
        <w:t xml:space="preserve">, contrariando padrões de </w:t>
      </w:r>
      <w:r w:rsidDel="00000000" w:rsidR="00000000" w:rsidRPr="00000000">
        <w:rPr>
          <w:b w:val="1"/>
          <w:bCs w:val="1"/>
          <w:rtl w:val="0"/>
        </w:rPr>
        <w:t xml:space="preserve">due diligence ambiental e de direitos humanos</w:t>
      </w:r>
      <w:r w:rsidDel="00000000" w:rsidR="00000000" w:rsidRPr="00000000">
        <w:rPr>
          <w:rtl w:val="0"/>
        </w:rPr>
        <w:t xml:space="preserve"> estabelecidos pela OCDE e pela ONU. Na prática, isso incentiva a concessão de crédito a projetos de risco, bastando a apresentação documental, sem verificação da legalidade material das licenças.</w:t>
      </w:r>
    </w:p>
    <w:p w:rsidR="00000000" w:rsidDel="00000000" w:rsidP="00000000" w:rsidRDefault="00000000" w:rsidRPr="00000000" w14:paraId="00000078">
      <w:pPr>
        <w:numPr>
          <w:ilvl w:val="0"/>
          <w:numId w:val="6"/>
        </w:numPr>
        <w:spacing w:after="0" w:afterAutospacing="0" w:before="0" w:beforeAutospacing="0" w:lineRule="auto"/>
        <w:ind w:left="720" w:hanging="360"/>
      </w:pPr>
      <w:r w:rsidDel="00000000" w:rsidR="00000000" w:rsidRPr="00000000">
        <w:rPr>
          <w:b w:val="1"/>
          <w:bCs w:val="1"/>
          <w:rtl w:val="0"/>
        </w:rPr>
        <w:t xml:space="preserve">Risco de ampliação de atividades em Unidades de Conservação</w:t>
        <w:br w:type="textWrapping"/>
      </w:r>
      <w:r w:rsidDel="00000000" w:rsidR="00000000" w:rsidRPr="00000000">
        <w:rPr>
          <w:rtl w:val="0"/>
        </w:rPr>
        <w:t xml:space="preserve">O art. 54 da Lei nº 15.190/2025, ao permitir estudos técnicos e ambientais em todas as categorias de Unidades de Conservação, inclusive de proteção integral, abre margem para </w:t>
      </w:r>
      <w:r w:rsidDel="00000000" w:rsidR="00000000" w:rsidRPr="00000000">
        <w:rPr>
          <w:b w:val="1"/>
          <w:bCs w:val="1"/>
          <w:rtl w:val="0"/>
        </w:rPr>
        <w:t xml:space="preserve">pressões setoriais de mineração, energia e logística</w:t>
      </w:r>
      <w:r w:rsidDel="00000000" w:rsidR="00000000" w:rsidRPr="00000000">
        <w:rPr>
          <w:rtl w:val="0"/>
        </w:rPr>
        <w:t xml:space="preserve">, em contradição com o dever constitucional de proteção reforçada e com o </w:t>
      </w:r>
      <w:r w:rsidDel="00000000" w:rsidR="00000000" w:rsidRPr="00000000">
        <w:rPr>
          <w:b w:val="1"/>
          <w:bCs w:val="1"/>
          <w:rtl w:val="0"/>
        </w:rPr>
        <w:t xml:space="preserve">princípio da não regressão ambiental</w:t>
      </w:r>
      <w:r w:rsidDel="00000000" w:rsidR="00000000" w:rsidRPr="00000000">
        <w:rPr>
          <w:rtl w:val="0"/>
        </w:rPr>
        <w:t xml:space="preserve">.</w:t>
      </w:r>
    </w:p>
    <w:p w:rsidR="00000000" w:rsidDel="00000000" w:rsidP="00000000" w:rsidRDefault="00000000" w:rsidRPr="00000000" w14:paraId="00000079">
      <w:pPr>
        <w:numPr>
          <w:ilvl w:val="0"/>
          <w:numId w:val="6"/>
        </w:numPr>
        <w:spacing w:after="0" w:afterAutospacing="0" w:before="0" w:beforeAutospacing="0" w:lineRule="auto"/>
        <w:ind w:left="720" w:hanging="360"/>
      </w:pPr>
      <w:r w:rsidDel="00000000" w:rsidR="00000000" w:rsidRPr="00000000">
        <w:rPr>
          <w:b w:val="1"/>
          <w:bCs w:val="1"/>
          <w:rtl w:val="0"/>
        </w:rPr>
        <w:t xml:space="preserve">Subordinação das manifestações de órgãos competentes e gestores de UCs</w:t>
        <w:br w:type="textWrapping"/>
      </w:r>
      <w:r w:rsidDel="00000000" w:rsidR="00000000" w:rsidRPr="00000000">
        <w:rPr>
          <w:rtl w:val="0"/>
        </w:rPr>
        <w:t xml:space="preserve">As alterações do PL nº 3.834/2025 (art. 42, III-A e art. 44, § 6º-A) estabelecem que as manifestações de órgãos envolvidos </w:t>
      </w:r>
      <w:r w:rsidDel="00000000" w:rsidR="00000000" w:rsidRPr="00000000">
        <w:rPr>
          <w:b w:val="1"/>
          <w:bCs w:val="1"/>
          <w:rtl w:val="0"/>
        </w:rPr>
        <w:t xml:space="preserve">não têm caráter vinculante</w:t>
      </w:r>
      <w:r w:rsidDel="00000000" w:rsidR="00000000" w:rsidRPr="00000000">
        <w:rPr>
          <w:rtl w:val="0"/>
        </w:rPr>
        <w:t xml:space="preserve">, salvo para o gestor de UC, podendo o processo prosseguir mesmo sem manifestação. Essa centralização decisória reduz o peso técnico e a independência dos órgãos especializados, aumentando o risco de </w:t>
      </w:r>
      <w:r w:rsidDel="00000000" w:rsidR="00000000" w:rsidRPr="00000000">
        <w:rPr>
          <w:b w:val="1"/>
          <w:bCs w:val="1"/>
          <w:rtl w:val="0"/>
        </w:rPr>
        <w:t xml:space="preserve">captura política</w:t>
      </w:r>
      <w:r w:rsidDel="00000000" w:rsidR="00000000" w:rsidRPr="00000000">
        <w:rPr>
          <w:rtl w:val="0"/>
        </w:rPr>
        <w:t xml:space="preserve"> do processo de licenciamento.</w:t>
      </w:r>
    </w:p>
    <w:p w:rsidR="00000000" w:rsidDel="00000000" w:rsidP="00000000" w:rsidRDefault="00000000" w:rsidRPr="00000000" w14:paraId="0000007A">
      <w:pPr>
        <w:numPr>
          <w:ilvl w:val="0"/>
          <w:numId w:val="6"/>
        </w:numPr>
        <w:spacing w:after="240" w:before="0" w:beforeAutospacing="0" w:lineRule="auto"/>
        <w:ind w:left="720" w:hanging="360"/>
      </w:pPr>
      <w:r w:rsidDel="00000000" w:rsidR="00000000" w:rsidRPr="00000000">
        <w:rPr>
          <w:b w:val="1"/>
          <w:bCs w:val="1"/>
          <w:rtl w:val="0"/>
        </w:rPr>
        <w:t xml:space="preserve">Prevalência do órgão licenciador sobre entes federativos</w:t>
        <w:br w:type="textWrapping"/>
      </w:r>
      <w:r w:rsidDel="00000000" w:rsidR="00000000" w:rsidRPr="00000000">
        <w:rPr>
          <w:rtl w:val="0"/>
        </w:rPr>
        <w:t xml:space="preserve">O novo art. 65-A do PL nº 3.834/2025 determina que, em conflitos de competência, prevalece a manifestação do órgão licenciador, salvo omissão comprovada. Essa regra enfraquece o modelo cooperativo da Lei Complementar nº 140/2011 e ameaça a autonomia dos entes federativos em matérias de interesse local, contrariando o pacto federativo ambiental previsto nos arts. 23 e 225 da Constituição.</w:t>
      </w:r>
    </w:p>
    <w:p w:rsidR="00000000" w:rsidDel="00000000" w:rsidP="00000000" w:rsidRDefault="00000000" w:rsidRPr="00000000" w14:paraId="0000007B">
      <w:pPr>
        <w:pStyle w:val="Heading2"/>
        <w:keepNext w:val="0"/>
        <w:keepLines w:val="0"/>
        <w:spacing w:after="80" w:lineRule="auto"/>
        <w:rPr>
          <w:sz w:val="22"/>
          <w:szCs w:val="22"/>
        </w:rPr>
      </w:pPr>
      <w:bookmarkStart w:colFirst="0" w:colLast="0" w:name="_gsy85jiz6ov0" w:id="10"/>
      <w:bookmarkEnd w:id="10"/>
      <w:r w:rsidDel="00000000" w:rsidR="00000000" w:rsidRPr="00000000">
        <w:rPr>
          <w:rtl w:val="0"/>
        </w:rPr>
      </w:r>
    </w:p>
    <w:p w:rsidR="00000000" w:rsidDel="00000000" w:rsidP="00000000" w:rsidRDefault="00000000" w:rsidRPr="00000000" w14:paraId="0000007C">
      <w:pPr>
        <w:pStyle w:val="Heading2"/>
        <w:keepNext w:val="0"/>
        <w:keepLines w:val="0"/>
        <w:spacing w:after="80" w:lineRule="auto"/>
        <w:rPr>
          <w:b w:val="1"/>
          <w:bCs w:val="1"/>
          <w:sz w:val="34"/>
          <w:szCs w:val="34"/>
        </w:rPr>
      </w:pPr>
      <w:bookmarkStart w:colFirst="0" w:colLast="0" w:name="_i6zsiqk6vqb0" w:id="11"/>
      <w:bookmarkEnd w:id="11"/>
      <w:r w:rsidDel="00000000" w:rsidR="00000000" w:rsidRPr="00000000">
        <w:rPr>
          <w:b w:val="1"/>
          <w:bCs w:val="1"/>
          <w:sz w:val="34"/>
          <w:szCs w:val="34"/>
          <w:rtl w:val="0"/>
        </w:rPr>
        <w:t xml:space="preserve">Conclusão</w:t>
      </w:r>
    </w:p>
    <w:p w:rsidR="00000000" w:rsidDel="00000000" w:rsidP="00000000" w:rsidRDefault="00000000" w:rsidRPr="00000000" w14:paraId="0000007D">
      <w:pPr>
        <w:spacing w:after="240" w:before="240" w:lineRule="auto"/>
        <w:rPr/>
      </w:pPr>
      <w:r w:rsidDel="00000000" w:rsidR="00000000" w:rsidRPr="00000000">
        <w:rPr>
          <w:rtl w:val="0"/>
        </w:rPr>
        <w:t xml:space="preserve">A revisão normativa em curso configura uma </w:t>
      </w:r>
      <w:r w:rsidDel="00000000" w:rsidR="00000000" w:rsidRPr="00000000">
        <w:rPr>
          <w:b w:val="1"/>
          <w:bCs w:val="1"/>
          <w:rtl w:val="0"/>
        </w:rPr>
        <w:t xml:space="preserve">reforma regressiva e desarticuladora da política ambiental brasileira</w:t>
      </w:r>
      <w:r w:rsidDel="00000000" w:rsidR="00000000" w:rsidRPr="00000000">
        <w:rPr>
          <w:rtl w:val="0"/>
        </w:rPr>
        <w:t xml:space="preserve">, com potencial de </w:t>
      </w:r>
      <w:r w:rsidDel="00000000" w:rsidR="00000000" w:rsidRPr="00000000">
        <w:rPr>
          <w:b w:val="1"/>
          <w:bCs w:val="1"/>
          <w:rtl w:val="0"/>
        </w:rPr>
        <w:t xml:space="preserve">violar obrigações internacionais assumidas pelo Brasil</w:t>
      </w:r>
      <w:r w:rsidDel="00000000" w:rsidR="00000000" w:rsidRPr="00000000">
        <w:rPr>
          <w:rtl w:val="0"/>
        </w:rPr>
        <w:t xml:space="preserve"> no âmbito do Sistema Interamericano de Direitos Humanos e de tratados multilaterais de meio ambiente.</w:t>
      </w:r>
    </w:p>
    <w:p w:rsidR="00000000" w:rsidDel="00000000" w:rsidP="00000000" w:rsidRDefault="00000000" w:rsidRPr="00000000" w14:paraId="0000007E">
      <w:pPr>
        <w:spacing w:after="240" w:before="240" w:lineRule="auto"/>
        <w:rPr/>
      </w:pPr>
      <w:r w:rsidDel="00000000" w:rsidR="00000000" w:rsidRPr="00000000">
        <w:rPr>
          <w:rtl w:val="0"/>
        </w:rPr>
        <w:t xml:space="preserve">Os dispositivos analisados comprometem diretamente:</w:t>
      </w:r>
    </w:p>
    <w:p w:rsidR="00000000" w:rsidDel="00000000" w:rsidP="00000000" w:rsidRDefault="00000000" w:rsidRPr="00000000" w14:paraId="0000007F">
      <w:pPr>
        <w:numPr>
          <w:ilvl w:val="0"/>
          <w:numId w:val="5"/>
        </w:numPr>
        <w:spacing w:after="0" w:afterAutospacing="0" w:before="240" w:lineRule="auto"/>
        <w:ind w:left="720" w:hanging="360"/>
      </w:pPr>
      <w:r w:rsidDel="00000000" w:rsidR="00000000" w:rsidRPr="00000000">
        <w:rPr>
          <w:rtl w:val="0"/>
        </w:rPr>
        <w:t xml:space="preserve">o </w:t>
      </w:r>
      <w:r w:rsidDel="00000000" w:rsidR="00000000" w:rsidRPr="00000000">
        <w:rPr>
          <w:b w:val="1"/>
          <w:bCs w:val="1"/>
          <w:rtl w:val="0"/>
        </w:rPr>
        <w:t xml:space="preserve">direito ao meio ambiente saudável</w:t>
      </w:r>
      <w:r w:rsidDel="00000000" w:rsidR="00000000" w:rsidRPr="00000000">
        <w:rPr>
          <w:rtl w:val="0"/>
        </w:rPr>
        <w:t xml:space="preserve"> (art. 11 do Protocolo de San Salvador);</w:t>
      </w:r>
    </w:p>
    <w:p w:rsidR="00000000" w:rsidDel="00000000" w:rsidP="00000000" w:rsidRDefault="00000000" w:rsidRPr="00000000" w14:paraId="00000080">
      <w:pPr>
        <w:numPr>
          <w:ilvl w:val="0"/>
          <w:numId w:val="5"/>
        </w:numPr>
        <w:spacing w:after="0" w:afterAutospacing="0" w:before="0" w:beforeAutospacing="0" w:lineRule="auto"/>
        <w:ind w:left="720" w:hanging="360"/>
      </w:pPr>
      <w:r w:rsidDel="00000000" w:rsidR="00000000" w:rsidRPr="00000000">
        <w:rPr>
          <w:rtl w:val="0"/>
        </w:rPr>
        <w:t xml:space="preserve">o </w:t>
      </w:r>
      <w:r w:rsidDel="00000000" w:rsidR="00000000" w:rsidRPr="00000000">
        <w:rPr>
          <w:b w:val="1"/>
          <w:bCs w:val="1"/>
          <w:rtl w:val="0"/>
        </w:rPr>
        <w:t xml:space="preserve">direito à informação e participação pública</w:t>
      </w:r>
      <w:r w:rsidDel="00000000" w:rsidR="00000000" w:rsidRPr="00000000">
        <w:rPr>
          <w:rtl w:val="0"/>
        </w:rPr>
        <w:t xml:space="preserve"> (arts. 6 e 7 do Acordo de Escazú);</w:t>
      </w:r>
    </w:p>
    <w:p w:rsidR="00000000" w:rsidDel="00000000" w:rsidP="00000000" w:rsidRDefault="00000000" w:rsidRPr="00000000" w14:paraId="00000081">
      <w:pPr>
        <w:numPr>
          <w:ilvl w:val="0"/>
          <w:numId w:val="5"/>
        </w:numPr>
        <w:spacing w:after="0" w:afterAutospacing="0" w:before="0" w:beforeAutospacing="0" w:lineRule="auto"/>
        <w:ind w:left="720" w:hanging="360"/>
      </w:pPr>
      <w:r w:rsidDel="00000000" w:rsidR="00000000" w:rsidRPr="00000000">
        <w:rPr>
          <w:rtl w:val="0"/>
        </w:rPr>
        <w:t xml:space="preserve">o </w:t>
      </w:r>
      <w:r w:rsidDel="00000000" w:rsidR="00000000" w:rsidRPr="00000000">
        <w:rPr>
          <w:b w:val="1"/>
          <w:bCs w:val="1"/>
          <w:rtl w:val="0"/>
        </w:rPr>
        <w:t xml:space="preserve">direito à consulta livre, prévia e informada</w:t>
      </w:r>
      <w:r w:rsidDel="00000000" w:rsidR="00000000" w:rsidRPr="00000000">
        <w:rPr>
          <w:rtl w:val="0"/>
        </w:rPr>
        <w:t xml:space="preserve"> (Convenção nº 169 da OIT, arts. 6 a 16);</w:t>
      </w:r>
    </w:p>
    <w:p w:rsidR="00000000" w:rsidDel="00000000" w:rsidP="00000000" w:rsidRDefault="00000000" w:rsidRPr="00000000" w14:paraId="00000082">
      <w:pPr>
        <w:numPr>
          <w:ilvl w:val="0"/>
          <w:numId w:val="5"/>
        </w:numPr>
        <w:spacing w:after="240" w:before="0" w:beforeAutospacing="0" w:lineRule="auto"/>
        <w:ind w:left="720" w:hanging="360"/>
      </w:pPr>
      <w:r w:rsidDel="00000000" w:rsidR="00000000" w:rsidRPr="00000000">
        <w:rPr>
          <w:rtl w:val="0"/>
        </w:rPr>
        <w:t xml:space="preserve">e os </w:t>
      </w:r>
      <w:r w:rsidDel="00000000" w:rsidR="00000000" w:rsidRPr="00000000">
        <w:rPr>
          <w:b w:val="1"/>
          <w:bCs w:val="1"/>
          <w:rtl w:val="0"/>
        </w:rPr>
        <w:t xml:space="preserve">deveres positivos de prevenção, precaução e não regressão ambiental</w:t>
      </w:r>
      <w:r w:rsidDel="00000000" w:rsidR="00000000" w:rsidRPr="00000000">
        <w:rPr>
          <w:rtl w:val="0"/>
        </w:rPr>
        <w:t xml:space="preserve"> (art. 26 da Convenção Americana sobre Direitos Humanos e jurisprudência da Corte IDH nos casos </w:t>
      </w:r>
      <w:r w:rsidDel="00000000" w:rsidR="00000000" w:rsidRPr="00000000">
        <w:rPr>
          <w:i w:val="1"/>
          <w:iCs w:val="1"/>
          <w:rtl w:val="0"/>
        </w:rPr>
        <w:t xml:space="preserve">Lhaka Honhat vs. Argentina</w:t>
      </w:r>
      <w:r w:rsidDel="00000000" w:rsidR="00000000" w:rsidRPr="00000000">
        <w:rPr>
          <w:rtl w:val="0"/>
        </w:rPr>
        <w:t xml:space="preserve">, </w:t>
      </w:r>
      <w:r w:rsidDel="00000000" w:rsidR="00000000" w:rsidRPr="00000000">
        <w:rPr>
          <w:i w:val="1"/>
          <w:iCs w:val="1"/>
          <w:rtl w:val="0"/>
        </w:rPr>
        <w:t xml:space="preserve">Comunidades Mayas vs. Belize</w:t>
      </w:r>
      <w:r w:rsidDel="00000000" w:rsidR="00000000" w:rsidRPr="00000000">
        <w:rPr>
          <w:rtl w:val="0"/>
        </w:rPr>
        <w:t xml:space="preserve"> e </w:t>
      </w:r>
      <w:r w:rsidDel="00000000" w:rsidR="00000000" w:rsidRPr="00000000">
        <w:rPr>
          <w:i w:val="1"/>
          <w:iCs w:val="1"/>
          <w:rtl w:val="0"/>
        </w:rPr>
        <w:t xml:space="preserve">Kaliña e Lokono vs. Suriname</w:t>
      </w:r>
      <w:r w:rsidDel="00000000" w:rsidR="00000000" w:rsidRPr="00000000">
        <w:rPr>
          <w:rtl w:val="0"/>
        </w:rPr>
        <w:t xml:space="preserve">).</w:t>
      </w:r>
    </w:p>
    <w:p w:rsidR="00000000" w:rsidDel="00000000" w:rsidP="00000000" w:rsidRDefault="00000000" w:rsidRPr="00000000" w14:paraId="00000083">
      <w:pPr>
        <w:spacing w:after="240" w:before="240" w:lineRule="auto"/>
        <w:rPr/>
      </w:pPr>
      <w:r w:rsidDel="00000000" w:rsidR="00000000" w:rsidRPr="00000000">
        <w:rPr>
          <w:rtl w:val="0"/>
        </w:rPr>
        <w:t xml:space="preserve">A </w:t>
      </w:r>
      <w:r w:rsidDel="00000000" w:rsidR="00000000" w:rsidRPr="00000000">
        <w:rPr>
          <w:b w:val="1"/>
          <w:bCs w:val="1"/>
          <w:rtl w:val="0"/>
        </w:rPr>
        <w:t xml:space="preserve">Lei nº 15.190/2025 e seus complementos (MPV 1.308/2025 e PL 3.834/2025)</w:t>
      </w:r>
      <w:r w:rsidDel="00000000" w:rsidR="00000000" w:rsidRPr="00000000">
        <w:rPr>
          <w:rtl w:val="0"/>
        </w:rPr>
        <w:t xml:space="preserve"> deslocam o eixo do licenciamento ambiental de um instrumento de proteção e participação para um instrumento de </w:t>
      </w:r>
      <w:r w:rsidDel="00000000" w:rsidR="00000000" w:rsidRPr="00000000">
        <w:rPr>
          <w:b w:val="1"/>
          <w:bCs w:val="1"/>
          <w:rtl w:val="0"/>
        </w:rPr>
        <w:t xml:space="preserve">viabilização administrativa de empreendimentos</w:t>
      </w:r>
      <w:r w:rsidDel="00000000" w:rsidR="00000000" w:rsidRPr="00000000">
        <w:rPr>
          <w:rtl w:val="0"/>
        </w:rPr>
        <w:t xml:space="preserve">, fragilizando o controle técnico, o monitoramento e o dever de prevenção de danos ambientais graves ou irreversíveis.</w:t>
      </w:r>
    </w:p>
    <w:p w:rsidR="00000000" w:rsidDel="00000000" w:rsidP="00000000" w:rsidRDefault="00000000" w:rsidRPr="00000000" w14:paraId="00000084">
      <w:pPr>
        <w:spacing w:after="240" w:before="240" w:lineRule="auto"/>
        <w:rPr/>
      </w:pPr>
      <w:r w:rsidDel="00000000" w:rsidR="00000000" w:rsidRPr="00000000">
        <w:rPr>
          <w:rtl w:val="0"/>
        </w:rPr>
        <w:t xml:space="preserve">O risco jurídico e institucional não se limita ao meio ambiente: trata-se de uma ameaça </w:t>
      </w:r>
      <w:r w:rsidDel="00000000" w:rsidR="00000000" w:rsidRPr="00000000">
        <w:rPr>
          <w:b w:val="1"/>
          <w:bCs w:val="1"/>
          <w:rtl w:val="0"/>
        </w:rPr>
        <w:t xml:space="preserve">à própria arquitetura de garantias democráticas e de governança ambiental</w:t>
      </w:r>
      <w:r w:rsidDel="00000000" w:rsidR="00000000" w:rsidRPr="00000000">
        <w:rPr>
          <w:rtl w:val="0"/>
        </w:rPr>
        <w:t xml:space="preserve">, em um país altamente vulnerável à emergência climática e à desigualdade socioambiental.</w:t>
      </w:r>
    </w:p>
    <w:p w:rsidR="00000000" w:rsidDel="00000000" w:rsidP="00000000" w:rsidRDefault="00000000" w:rsidRPr="00000000" w14:paraId="00000085">
      <w:pPr>
        <w:spacing w:after="240" w:before="240" w:lineRule="auto"/>
        <w:rPr/>
      </w:pPr>
      <w:r w:rsidDel="00000000" w:rsidR="00000000" w:rsidRPr="00000000">
        <w:rPr>
          <w:rtl w:val="0"/>
        </w:rPr>
        <w:t xml:space="preserve">Assim, o</w:t>
      </w:r>
      <w:r w:rsidDel="00000000" w:rsidR="00000000" w:rsidRPr="00000000">
        <w:rPr>
          <w:rtl w:val="0"/>
        </w:rPr>
        <w:t xml:space="preserve"> </w:t>
      </w:r>
      <w:r w:rsidDel="00000000" w:rsidR="00000000" w:rsidRPr="00000000">
        <w:rPr>
          <w:b w:val="1"/>
          <w:bCs w:val="1"/>
          <w:rtl w:val="0"/>
        </w:rPr>
        <w:t xml:space="preserve">ISPN, o WBO, a Conectas e o Observatório do Clima</w:t>
      </w:r>
      <w:r w:rsidDel="00000000" w:rsidR="00000000" w:rsidRPr="00000000">
        <w:rPr>
          <w:b w:val="1"/>
          <w:bCs w:val="1"/>
          <w:rtl w:val="0"/>
        </w:rPr>
        <w:t xml:space="preserve"> reiteram a solicitação à REDESCA</w:t>
      </w:r>
      <w:r w:rsidDel="00000000" w:rsidR="00000000" w:rsidRPr="00000000">
        <w:rPr>
          <w:rtl w:val="0"/>
        </w:rPr>
        <w:t xml:space="preserve"> para que este processo normativo seja objeto de </w:t>
      </w:r>
      <w:r w:rsidDel="00000000" w:rsidR="00000000" w:rsidRPr="00000000">
        <w:rPr>
          <w:b w:val="1"/>
          <w:bCs w:val="1"/>
          <w:rtl w:val="0"/>
        </w:rPr>
        <w:t xml:space="preserve">recomendação e acompanhamento especial</w:t>
      </w:r>
      <w:r w:rsidDel="00000000" w:rsidR="00000000" w:rsidRPr="00000000">
        <w:rPr>
          <w:rtl w:val="0"/>
        </w:rPr>
        <w:t xml:space="preserve"> no relatório anual da Comissão Interamericana, enfatizando:</w:t>
      </w:r>
    </w:p>
    <w:p w:rsidR="00000000" w:rsidDel="00000000" w:rsidP="00000000" w:rsidRDefault="00000000" w:rsidRPr="00000000" w14:paraId="00000086">
      <w:pPr>
        <w:numPr>
          <w:ilvl w:val="0"/>
          <w:numId w:val="4"/>
        </w:numPr>
        <w:spacing w:after="0" w:afterAutospacing="0" w:before="240" w:lineRule="auto"/>
        <w:ind w:left="720" w:hanging="360"/>
      </w:pPr>
      <w:r w:rsidDel="00000000" w:rsidR="00000000" w:rsidRPr="00000000">
        <w:rPr>
          <w:rtl w:val="0"/>
        </w:rPr>
        <w:t xml:space="preserve">a necessidade de </w:t>
      </w:r>
      <w:r w:rsidDel="00000000" w:rsidR="00000000" w:rsidRPr="00000000">
        <w:rPr>
          <w:b w:val="1"/>
          <w:bCs w:val="1"/>
          <w:rtl w:val="0"/>
        </w:rPr>
        <w:t xml:space="preserve">revisão legislativa e regulamentar</w:t>
      </w:r>
      <w:r w:rsidDel="00000000" w:rsidR="00000000" w:rsidRPr="00000000">
        <w:rPr>
          <w:rtl w:val="0"/>
        </w:rPr>
        <w:t xml:space="preserve"> para restabelecer salvaguardas de precaução, prevenção e participação;</w:t>
      </w:r>
    </w:p>
    <w:p w:rsidR="00000000" w:rsidDel="00000000" w:rsidP="00000000" w:rsidRDefault="00000000" w:rsidRPr="00000000" w14:paraId="00000087">
      <w:pPr>
        <w:numPr>
          <w:ilvl w:val="0"/>
          <w:numId w:val="4"/>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adoção de medidas cautelares</w:t>
      </w:r>
      <w:r w:rsidDel="00000000" w:rsidR="00000000" w:rsidRPr="00000000">
        <w:rPr>
          <w:rtl w:val="0"/>
        </w:rPr>
        <w:t xml:space="preserve"> que suspendam a aplicação da LAE e do autolicenciamento até que parâmetros técnicos e participativos adequados sejam definidos;</w:t>
      </w:r>
    </w:p>
    <w:p w:rsidR="00000000" w:rsidDel="00000000" w:rsidP="00000000" w:rsidRDefault="00000000" w:rsidRPr="00000000" w14:paraId="00000088">
      <w:pPr>
        <w:numPr>
          <w:ilvl w:val="0"/>
          <w:numId w:val="4"/>
        </w:numPr>
        <w:spacing w:after="240" w:before="0" w:beforeAutospacing="0" w:lineRule="auto"/>
        <w:ind w:left="720" w:hanging="360"/>
      </w:pPr>
      <w:r w:rsidDel="00000000" w:rsidR="00000000" w:rsidRPr="00000000">
        <w:rPr>
          <w:rtl w:val="0"/>
        </w:rPr>
        <w:t xml:space="preserve">e o </w:t>
      </w:r>
      <w:r w:rsidDel="00000000" w:rsidR="00000000" w:rsidRPr="00000000">
        <w:rPr>
          <w:b w:val="1"/>
          <w:bCs w:val="1"/>
          <w:rtl w:val="0"/>
        </w:rPr>
        <w:t xml:space="preserve">reconhecimento, pelo sistema interamericano</w:t>
      </w:r>
      <w:r w:rsidDel="00000000" w:rsidR="00000000" w:rsidRPr="00000000">
        <w:rPr>
          <w:rtl w:val="0"/>
        </w:rPr>
        <w:t xml:space="preserve">, de que a fragilização deliberada do licenciamento ambiental </w:t>
      </w:r>
      <w:r w:rsidDel="00000000" w:rsidR="00000000" w:rsidRPr="00000000">
        <w:rPr>
          <w:b w:val="1"/>
          <w:bCs w:val="1"/>
          <w:rtl w:val="0"/>
        </w:rPr>
        <w:t xml:space="preserve">constitui violação indireta de direitos humanos</w:t>
      </w:r>
      <w:r w:rsidDel="00000000" w:rsidR="00000000" w:rsidRPr="00000000">
        <w:rPr>
          <w:rtl w:val="0"/>
        </w:rPr>
        <w:t xml:space="preserve">, por expor populações, ecossistemas e futuras gerações a riscos previsíveis e evitáveis.</w:t>
      </w:r>
    </w:p>
    <w:p w:rsidR="00000000" w:rsidDel="00000000" w:rsidP="00000000" w:rsidRDefault="00000000" w:rsidRPr="00000000" w14:paraId="00000089">
      <w:pPr>
        <w:spacing w:after="240" w:before="240" w:lineRule="auto"/>
        <w:rPr/>
      </w:pPr>
      <w:r w:rsidDel="00000000" w:rsidR="00000000" w:rsidRPr="00000000">
        <w:rPr>
          <w:rtl w:val="0"/>
        </w:rPr>
        <w:t xml:space="preserve">Em síntese, o conjunto normativo ora aprovado e em discussão no Legislativo representa uma </w:t>
      </w:r>
      <w:r w:rsidDel="00000000" w:rsidR="00000000" w:rsidRPr="00000000">
        <w:rPr>
          <w:b w:val="1"/>
          <w:bCs w:val="1"/>
          <w:rtl w:val="0"/>
        </w:rPr>
        <w:t xml:space="preserve">regressão estrutural da política ambiental brasileira</w:t>
      </w:r>
      <w:r w:rsidDel="00000000" w:rsidR="00000000" w:rsidRPr="00000000">
        <w:rPr>
          <w:rtl w:val="0"/>
        </w:rPr>
        <w:t xml:space="preserve">, que ameaça converter o licenciamento ambiental — antes ferramenta de proteção e diálogo democrático — em mero trâmite burocrático legitimador de impactos socioambientais e climáticos de larga escala.</w:t>
      </w:r>
    </w:p>
    <w:p w:rsidR="00000000" w:rsidDel="00000000" w:rsidP="00000000" w:rsidRDefault="00000000" w:rsidRPr="00000000" w14:paraId="0000008A">
      <w:pPr>
        <w:spacing w:after="240" w:before="240" w:lineRule="auto"/>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